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EDE45">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DFB0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F92E8F6">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B171F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5A5037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pPr w:leftFromText="180" w:rightFromText="180" w:vertAnchor="text" w:horzAnchor="page" w:tblpX="1758" w:tblpY="298"/>
        <w:tblOverlap w:val="never"/>
        <w:tblW w:w="88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523"/>
        <w:gridCol w:w="792"/>
        <w:gridCol w:w="1124"/>
        <w:gridCol w:w="1384"/>
        <w:gridCol w:w="1309"/>
        <w:gridCol w:w="961"/>
        <w:gridCol w:w="961"/>
      </w:tblGrid>
      <w:tr w14:paraId="1C5B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823" w:type="dxa"/>
            <w:vAlign w:val="center"/>
          </w:tcPr>
          <w:p w14:paraId="5A8F22F9">
            <w:pPr>
              <w:spacing w:line="260" w:lineRule="exact"/>
              <w:ind w:right="200"/>
              <w:jc w:val="center"/>
              <w:rPr>
                <w:rFonts w:ascii="宋体" w:hAnsi="宋体" w:eastAsia="宋体" w:cs="宋体"/>
                <w:szCs w:val="21"/>
              </w:rPr>
            </w:pPr>
            <w:r>
              <w:rPr>
                <w:rFonts w:hint="eastAsia" w:ascii="宋体" w:hAnsi="宋体" w:eastAsia="宋体" w:cs="宋体"/>
                <w:szCs w:val="21"/>
              </w:rPr>
              <w:t>序号</w:t>
            </w:r>
          </w:p>
        </w:tc>
        <w:tc>
          <w:tcPr>
            <w:tcW w:w="1523" w:type="dxa"/>
            <w:vAlign w:val="center"/>
          </w:tcPr>
          <w:p w14:paraId="701367C1">
            <w:pPr>
              <w:spacing w:line="260" w:lineRule="exact"/>
              <w:ind w:right="200"/>
              <w:jc w:val="center"/>
              <w:rPr>
                <w:rFonts w:ascii="宋体" w:hAnsi="宋体" w:eastAsia="宋体" w:cs="宋体"/>
                <w:szCs w:val="21"/>
              </w:rPr>
            </w:pPr>
            <w:r>
              <w:rPr>
                <w:rFonts w:hint="eastAsia" w:ascii="宋体" w:hAnsi="宋体" w:eastAsia="宋体" w:cs="宋体"/>
                <w:szCs w:val="21"/>
              </w:rPr>
              <w:t>标的</w:t>
            </w:r>
          </w:p>
          <w:p w14:paraId="033D8602">
            <w:pPr>
              <w:spacing w:line="260" w:lineRule="exact"/>
              <w:ind w:right="200"/>
              <w:jc w:val="center"/>
              <w:rPr>
                <w:rFonts w:ascii="宋体" w:hAnsi="宋体" w:eastAsia="宋体" w:cs="宋体"/>
                <w:szCs w:val="21"/>
              </w:rPr>
            </w:pPr>
            <w:r>
              <w:rPr>
                <w:rFonts w:hint="eastAsia" w:ascii="宋体" w:hAnsi="宋体" w:eastAsia="宋体" w:cs="宋体"/>
                <w:szCs w:val="21"/>
              </w:rPr>
              <w:t>名称</w:t>
            </w:r>
          </w:p>
        </w:tc>
        <w:tc>
          <w:tcPr>
            <w:tcW w:w="792" w:type="dxa"/>
            <w:vAlign w:val="center"/>
          </w:tcPr>
          <w:p w14:paraId="7B5409DF">
            <w:pPr>
              <w:spacing w:line="260" w:lineRule="exact"/>
              <w:ind w:right="200"/>
              <w:jc w:val="center"/>
              <w:rPr>
                <w:rFonts w:ascii="宋体" w:hAnsi="宋体" w:eastAsia="宋体" w:cs="宋体"/>
                <w:szCs w:val="21"/>
              </w:rPr>
            </w:pPr>
            <w:r>
              <w:rPr>
                <w:rFonts w:hint="eastAsia" w:ascii="宋体" w:hAnsi="宋体" w:eastAsia="宋体" w:cs="宋体"/>
                <w:szCs w:val="21"/>
                <w:lang w:val="en-US" w:eastAsia="zh-CN"/>
              </w:rPr>
              <w:t>实际</w:t>
            </w:r>
            <w:r>
              <w:rPr>
                <w:rFonts w:hint="eastAsia" w:ascii="宋体" w:hAnsi="宋体" w:eastAsia="宋体" w:cs="宋体"/>
                <w:szCs w:val="21"/>
              </w:rPr>
              <w:t>用途</w:t>
            </w:r>
          </w:p>
        </w:tc>
        <w:tc>
          <w:tcPr>
            <w:tcW w:w="1124" w:type="dxa"/>
            <w:vAlign w:val="center"/>
          </w:tcPr>
          <w:p w14:paraId="4A8F7A91">
            <w:pPr>
              <w:spacing w:line="260" w:lineRule="exact"/>
              <w:ind w:right="200"/>
              <w:jc w:val="center"/>
              <w:rPr>
                <w:rFonts w:ascii="宋体" w:hAnsi="宋体" w:eastAsia="宋体" w:cs="宋体"/>
                <w:szCs w:val="21"/>
              </w:rPr>
            </w:pPr>
            <w:r>
              <w:rPr>
                <w:rFonts w:hint="eastAsia" w:ascii="宋体" w:hAnsi="宋体" w:eastAsia="宋体" w:cs="宋体"/>
                <w:color w:val="auto"/>
                <w:sz w:val="21"/>
                <w:szCs w:val="21"/>
                <w:lang w:val="en-US" w:eastAsia="zh-CN"/>
              </w:rPr>
              <w:t>出租</w:t>
            </w:r>
            <w:r>
              <w:rPr>
                <w:rFonts w:hint="eastAsia" w:ascii="宋体" w:hAnsi="宋体" w:eastAsia="宋体" w:cs="宋体"/>
                <w:color w:val="auto"/>
                <w:sz w:val="21"/>
                <w:szCs w:val="21"/>
              </w:rPr>
              <w:t>建筑面积（平方米</w:t>
            </w:r>
            <w:r>
              <w:rPr>
                <w:rFonts w:hint="eastAsia" w:ascii="宋体" w:hAnsi="宋体" w:eastAsia="宋体" w:cs="宋体"/>
                <w:szCs w:val="21"/>
              </w:rPr>
              <w:t>）</w:t>
            </w:r>
          </w:p>
        </w:tc>
        <w:tc>
          <w:tcPr>
            <w:tcW w:w="1384" w:type="dxa"/>
            <w:vAlign w:val="center"/>
          </w:tcPr>
          <w:p w14:paraId="7382A179">
            <w:pPr>
              <w:jc w:val="center"/>
              <w:rPr>
                <w:rFonts w:ascii="宋体" w:hAnsi="宋体" w:eastAsia="宋体" w:cs="宋体"/>
                <w:kern w:val="2"/>
                <w:sz w:val="21"/>
                <w:szCs w:val="21"/>
                <w:lang w:val="en-US" w:eastAsia="zh-CN" w:bidi="zh-CN"/>
              </w:rPr>
            </w:pPr>
            <w:r>
              <w:rPr>
                <w:rFonts w:hint="eastAsia" w:ascii="宋体" w:hAnsi="宋体" w:cs="宋体"/>
                <w:kern w:val="2"/>
                <w:sz w:val="21"/>
                <w:szCs w:val="22"/>
                <w:lang w:val="en-US" w:eastAsia="zh-CN" w:bidi="zh-CN"/>
              </w:rPr>
              <w:t>首年租金起始</w:t>
            </w:r>
            <w:r>
              <w:rPr>
                <w:rFonts w:hint="eastAsia" w:ascii="宋体" w:hAnsi="宋体" w:eastAsia="宋体" w:cs="宋体"/>
                <w:kern w:val="2"/>
                <w:sz w:val="21"/>
                <w:szCs w:val="22"/>
                <w:lang w:val="zh-CN" w:eastAsia="zh-CN" w:bidi="zh-CN"/>
              </w:rPr>
              <w:t>价</w:t>
            </w:r>
            <w:r>
              <w:rPr>
                <w:rFonts w:hint="eastAsia" w:ascii="宋体" w:hAnsi="宋体" w:eastAsia="宋体" w:cs="宋体"/>
                <w:kern w:val="2"/>
                <w:sz w:val="21"/>
                <w:szCs w:val="21"/>
                <w:lang w:val="zh-CN" w:eastAsia="zh-CN" w:bidi="zh-CN"/>
              </w:rPr>
              <w:t>（</w:t>
            </w:r>
            <w:r>
              <w:rPr>
                <w:rFonts w:ascii="宋体" w:hAnsi="宋体" w:eastAsia="宋体" w:cs="宋体"/>
                <w:kern w:val="2"/>
                <w:sz w:val="21"/>
                <w:szCs w:val="21"/>
                <w:lang w:val="zh-CN" w:eastAsia="zh-CN" w:bidi="zh-CN"/>
              </w:rPr>
              <w:t>万</w:t>
            </w:r>
            <w:r>
              <w:rPr>
                <w:rFonts w:hint="eastAsia" w:ascii="宋体" w:hAnsi="宋体" w:eastAsia="宋体" w:cs="宋体"/>
                <w:kern w:val="2"/>
                <w:sz w:val="21"/>
                <w:szCs w:val="21"/>
                <w:lang w:val="zh-CN" w:eastAsia="zh-CN" w:bidi="zh-CN"/>
              </w:rPr>
              <w:t>元）</w:t>
            </w:r>
            <w:r>
              <w:rPr>
                <w:rFonts w:hint="eastAsia" w:ascii="宋体" w:hAnsi="宋体" w:cs="宋体"/>
                <w:kern w:val="2"/>
                <w:sz w:val="21"/>
                <w:szCs w:val="21"/>
                <w:lang w:val="en-US" w:eastAsia="zh-CN" w:bidi="zh-CN"/>
              </w:rPr>
              <w:t>/年</w:t>
            </w:r>
          </w:p>
        </w:tc>
        <w:tc>
          <w:tcPr>
            <w:tcW w:w="1309" w:type="dxa"/>
            <w:vAlign w:val="center"/>
          </w:tcPr>
          <w:p w14:paraId="18A4E9DE">
            <w:pPr>
              <w:spacing w:line="260" w:lineRule="exact"/>
              <w:ind w:right="200"/>
              <w:jc w:val="center"/>
              <w:rPr>
                <w:rFonts w:ascii="宋体" w:hAnsi="宋体" w:eastAsia="宋体" w:cs="宋体"/>
                <w:szCs w:val="21"/>
              </w:rPr>
            </w:pPr>
            <w:r>
              <w:rPr>
                <w:rFonts w:hint="eastAsia" w:ascii="宋体" w:hAnsi="宋体" w:eastAsia="宋体" w:cs="宋体"/>
                <w:szCs w:val="21"/>
              </w:rPr>
              <w:t>保证金</w:t>
            </w:r>
          </w:p>
          <w:p w14:paraId="1A5C10E5">
            <w:pPr>
              <w:spacing w:line="260" w:lineRule="exact"/>
              <w:ind w:right="200"/>
              <w:jc w:val="center"/>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万</w:t>
            </w:r>
            <w:r>
              <w:rPr>
                <w:rFonts w:hint="eastAsia" w:ascii="宋体" w:hAnsi="宋体" w:eastAsia="宋体" w:cs="宋体"/>
                <w:szCs w:val="21"/>
              </w:rPr>
              <w:t>元）</w:t>
            </w:r>
          </w:p>
        </w:tc>
        <w:tc>
          <w:tcPr>
            <w:tcW w:w="961" w:type="dxa"/>
            <w:vAlign w:val="center"/>
          </w:tcPr>
          <w:p w14:paraId="5D621765">
            <w:pPr>
              <w:spacing w:line="260" w:lineRule="exact"/>
              <w:ind w:right="200"/>
              <w:jc w:val="center"/>
              <w:rPr>
                <w:rFonts w:hint="eastAsia" w:ascii="宋体" w:hAnsi="宋体" w:eastAsia="宋体" w:cs="宋体"/>
                <w:szCs w:val="21"/>
                <w:lang w:val="en-US" w:eastAsia="zh-CN"/>
              </w:rPr>
            </w:pPr>
            <w:r>
              <w:rPr>
                <w:rFonts w:hint="eastAsia" w:ascii="宋体" w:hAnsi="宋体" w:eastAsia="宋体" w:cs="宋体"/>
                <w:szCs w:val="21"/>
                <w:lang w:val="en-US" w:eastAsia="zh-CN"/>
              </w:rPr>
              <w:t>租赁期限</w:t>
            </w:r>
          </w:p>
          <w:p w14:paraId="67A229F4">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（年）</w:t>
            </w:r>
          </w:p>
        </w:tc>
        <w:tc>
          <w:tcPr>
            <w:tcW w:w="961" w:type="dxa"/>
            <w:vAlign w:val="center"/>
          </w:tcPr>
          <w:p w14:paraId="54B2AD53">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备注</w:t>
            </w:r>
          </w:p>
        </w:tc>
      </w:tr>
      <w:tr w14:paraId="587F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23" w:type="dxa"/>
            <w:vAlign w:val="center"/>
          </w:tcPr>
          <w:p w14:paraId="07CEB159">
            <w:pPr>
              <w:spacing w:line="260" w:lineRule="exact"/>
              <w:ind w:right="2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523" w:type="dxa"/>
            <w:tcBorders>
              <w:left w:val="single" w:color="auto" w:sz="4" w:space="0"/>
            </w:tcBorders>
            <w:vAlign w:val="center"/>
          </w:tcPr>
          <w:p w14:paraId="08A8D93C">
            <w:pPr>
              <w:spacing w:line="260" w:lineRule="exact"/>
              <w:ind w:right="200"/>
              <w:jc w:val="center"/>
              <w:rPr>
                <w:rFonts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通港路</w:t>
            </w:r>
            <w:r>
              <w:rPr>
                <w:rFonts w:hint="eastAsia" w:ascii="宋体" w:hAnsi="宋体" w:cs="宋体"/>
                <w:color w:val="000000"/>
                <w:sz w:val="21"/>
                <w:szCs w:val="21"/>
                <w:lang w:val="en-US" w:eastAsia="zh-CN"/>
              </w:rPr>
              <w:t>及通海路</w:t>
            </w:r>
            <w:r>
              <w:rPr>
                <w:rFonts w:hint="eastAsia" w:ascii="宋体" w:hAnsi="宋体" w:eastAsia="宋体" w:cs="宋体"/>
                <w:color w:val="000000"/>
                <w:sz w:val="21"/>
                <w:szCs w:val="21"/>
                <w:lang w:val="en-US" w:eastAsia="zh-CN"/>
              </w:rPr>
              <w:t>撬装加油服务场地</w:t>
            </w:r>
          </w:p>
        </w:tc>
        <w:tc>
          <w:tcPr>
            <w:tcW w:w="792" w:type="dxa"/>
            <w:tcBorders>
              <w:left w:val="single" w:color="auto" w:sz="4" w:space="0"/>
            </w:tcBorders>
            <w:vAlign w:val="center"/>
          </w:tcPr>
          <w:p w14:paraId="1703C2AB">
            <w:pPr>
              <w:spacing w:line="260" w:lineRule="exact"/>
              <w:ind w:right="200"/>
              <w:jc w:val="center"/>
              <w:rPr>
                <w:rFonts w:ascii="宋体" w:hAnsi="宋体" w:eastAsia="宋体" w:cs="宋体"/>
                <w:color w:val="000000"/>
                <w:sz w:val="21"/>
                <w:szCs w:val="21"/>
                <w:lang w:val="en-US" w:eastAsia="zh-CN"/>
              </w:rPr>
            </w:pPr>
            <w:r>
              <w:rPr>
                <w:rFonts w:hint="eastAsia" w:ascii="宋体" w:hAnsi="宋体" w:cs="宋体"/>
                <w:color w:val="000000"/>
                <w:sz w:val="21"/>
                <w:szCs w:val="21"/>
                <w:lang w:val="en-US" w:eastAsia="zh-CN"/>
              </w:rPr>
              <w:t>撬装加油服务场地</w:t>
            </w:r>
          </w:p>
        </w:tc>
        <w:tc>
          <w:tcPr>
            <w:tcW w:w="1124" w:type="dxa"/>
            <w:tcBorders>
              <w:left w:val="single" w:color="auto" w:sz="4" w:space="0"/>
            </w:tcBorders>
            <w:vAlign w:val="center"/>
          </w:tcPr>
          <w:p w14:paraId="451123B2">
            <w:pPr>
              <w:spacing w:line="260" w:lineRule="exact"/>
              <w:ind w:right="200"/>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216</w:t>
            </w:r>
          </w:p>
        </w:tc>
        <w:tc>
          <w:tcPr>
            <w:tcW w:w="1384" w:type="dxa"/>
            <w:tcBorders>
              <w:left w:val="single" w:color="auto" w:sz="4" w:space="0"/>
            </w:tcBorders>
            <w:vAlign w:val="center"/>
          </w:tcPr>
          <w:p w14:paraId="1C4D600B">
            <w:pPr>
              <w:spacing w:line="260" w:lineRule="exact"/>
              <w:ind w:right="200"/>
              <w:jc w:val="center"/>
              <w:rPr>
                <w:rFonts w:hint="default" w:ascii="宋体" w:hAnsi="宋体" w:cs="宋体"/>
                <w:color w:val="000000"/>
                <w:sz w:val="21"/>
                <w:szCs w:val="21"/>
                <w:lang w:val="en-US" w:eastAsia="zh-CN"/>
              </w:rPr>
            </w:pPr>
            <w:r>
              <w:rPr>
                <w:rFonts w:hint="eastAsia" w:ascii="宋体" w:hAnsi="宋体" w:cs="宋体"/>
                <w:color w:val="000000"/>
                <w:sz w:val="21"/>
                <w:szCs w:val="21"/>
                <w:lang w:val="en-US" w:eastAsia="zh-CN"/>
              </w:rPr>
              <w:t>25.15</w:t>
            </w:r>
          </w:p>
        </w:tc>
        <w:tc>
          <w:tcPr>
            <w:tcW w:w="1309" w:type="dxa"/>
            <w:tcBorders>
              <w:left w:val="single" w:color="auto" w:sz="4" w:space="0"/>
            </w:tcBorders>
            <w:vAlign w:val="center"/>
          </w:tcPr>
          <w:p w14:paraId="2F6E2B87">
            <w:pPr>
              <w:spacing w:line="260" w:lineRule="exact"/>
              <w:ind w:right="200"/>
              <w:jc w:val="center"/>
              <w:rPr>
                <w:rFonts w:ascii="宋体" w:hAnsi="宋体" w:eastAsia="宋体" w:cs="宋体"/>
                <w:sz w:val="21"/>
                <w:szCs w:val="21"/>
                <w:lang w:val="en-US" w:eastAsia="zh-CN"/>
              </w:rPr>
            </w:pPr>
            <w:r>
              <w:rPr>
                <w:rFonts w:hint="eastAsia" w:ascii="宋体" w:hAnsi="宋体" w:cs="宋体"/>
                <w:color w:val="000000"/>
                <w:sz w:val="21"/>
                <w:szCs w:val="21"/>
                <w:lang w:val="en-US" w:eastAsia="zh-CN"/>
              </w:rPr>
              <w:t>2</w:t>
            </w:r>
          </w:p>
        </w:tc>
        <w:tc>
          <w:tcPr>
            <w:tcW w:w="961" w:type="dxa"/>
            <w:tcBorders>
              <w:left w:val="single" w:color="auto" w:sz="4" w:space="0"/>
            </w:tcBorders>
            <w:vAlign w:val="center"/>
          </w:tcPr>
          <w:p w14:paraId="33F0DAA6">
            <w:pPr>
              <w:keepNext w:val="0"/>
              <w:keepLines w:val="0"/>
              <w:widowControl/>
              <w:suppressLineNumbers w:val="0"/>
              <w:jc w:val="center"/>
              <w:textAlignment w:val="center"/>
              <w:rPr>
                <w:rFonts w:ascii="宋体" w:hAnsi="宋体" w:eastAsia="宋体" w:cs="宋体"/>
                <w:color w:val="000000"/>
                <w:kern w:val="2"/>
                <w:sz w:val="21"/>
                <w:szCs w:val="21"/>
                <w:lang w:val="en-US" w:eastAsia="zh-CN" w:bidi="ar-SA"/>
              </w:rPr>
            </w:pPr>
            <w:r>
              <w:rPr>
                <w:rFonts w:hint="eastAsia" w:ascii="宋体" w:hAnsi="宋体" w:cs="宋体"/>
                <w:i w:val="0"/>
                <w:iCs w:val="0"/>
                <w:color w:val="000000"/>
                <w:kern w:val="0"/>
                <w:sz w:val="21"/>
                <w:szCs w:val="21"/>
                <w:u w:val="none"/>
                <w:lang w:val="en-US" w:eastAsia="zh-CN"/>
              </w:rPr>
              <w:t>3</w:t>
            </w:r>
          </w:p>
        </w:tc>
        <w:tc>
          <w:tcPr>
            <w:tcW w:w="961" w:type="dxa"/>
            <w:tcBorders>
              <w:left w:val="single" w:color="auto" w:sz="4" w:space="0"/>
            </w:tcBorders>
            <w:vAlign w:val="center"/>
          </w:tcPr>
          <w:p w14:paraId="2BC96382">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rPr>
            </w:pPr>
            <w:r>
              <w:rPr>
                <w:rFonts w:hint="eastAsia" w:ascii="宋体" w:hAnsi="宋体" w:cs="宋体"/>
                <w:i w:val="0"/>
                <w:iCs w:val="0"/>
                <w:color w:val="000000"/>
                <w:kern w:val="0"/>
                <w:sz w:val="21"/>
                <w:szCs w:val="21"/>
                <w:u w:val="none"/>
                <w:lang w:val="en-US" w:eastAsia="zh-CN"/>
              </w:rPr>
              <w:t>成交年租金从第二年起每年递增5%</w:t>
            </w:r>
          </w:p>
        </w:tc>
      </w:tr>
    </w:tbl>
    <w:p w14:paraId="7C59EB62">
      <w:pPr>
        <w:spacing w:line="420" w:lineRule="exact"/>
        <w:ind w:firstLine="482" w:firstLineChars="200"/>
        <w:rPr>
          <w:rFonts w:hint="eastAsia" w:ascii="宋体" w:hAnsi="宋体"/>
          <w:b/>
          <w:color w:val="auto"/>
          <w:sz w:val="24"/>
          <w:szCs w:val="24"/>
        </w:rPr>
      </w:pPr>
    </w:p>
    <w:p w14:paraId="12B41439">
      <w:pPr>
        <w:spacing w:line="420" w:lineRule="exact"/>
        <w:ind w:firstLine="482" w:firstLineChars="200"/>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四</w:t>
      </w:r>
    </w:p>
    <w:p w14:paraId="4E60C17A">
      <w:pPr>
        <w:spacing w:line="420" w:lineRule="exact"/>
        <w:ind w:firstLine="482" w:firstLineChars="200"/>
        <w:rPr>
          <w:rFonts w:hint="eastAsia" w:ascii="宋体" w:hAnsi="宋体" w:eastAsia="宋体" w:cs="宋体"/>
          <w:b/>
          <w:color w:val="auto"/>
          <w:sz w:val="24"/>
          <w:szCs w:val="24"/>
          <w:lang w:eastAsia="zh-CN"/>
        </w:rPr>
      </w:pPr>
    </w:p>
    <w:p w14:paraId="1B35E7A4">
      <w:pPr>
        <w:spacing w:line="420" w:lineRule="exact"/>
        <w:ind w:firstLine="482" w:firstLineChars="200"/>
        <w:rPr>
          <w:rFonts w:hint="eastAsia" w:ascii="宋体" w:hAnsi="宋体" w:eastAsia="宋体" w:cs="宋体"/>
          <w:b/>
          <w:color w:val="auto"/>
          <w:sz w:val="24"/>
          <w:szCs w:val="24"/>
          <w:lang w:eastAsia="zh-CN"/>
        </w:rPr>
      </w:pPr>
    </w:p>
    <w:p w14:paraId="7446B8AD">
      <w:pPr>
        <w:spacing w:line="420" w:lineRule="exact"/>
        <w:ind w:firstLine="482" w:firstLineChars="200"/>
        <w:rPr>
          <w:rFonts w:hint="eastAsia" w:ascii="宋体" w:hAnsi="宋体" w:eastAsia="宋体" w:cs="宋体"/>
          <w:b/>
          <w:color w:val="auto"/>
          <w:sz w:val="24"/>
          <w:szCs w:val="24"/>
          <w:lang w:eastAsia="zh-CN"/>
        </w:rPr>
      </w:pPr>
    </w:p>
    <w:p w14:paraId="6A6F0F07">
      <w:pPr>
        <w:spacing w:line="420" w:lineRule="exact"/>
        <w:ind w:firstLine="482" w:firstLineChars="200"/>
        <w:rPr>
          <w:rFonts w:hint="eastAsia" w:ascii="宋体" w:hAnsi="宋体" w:eastAsia="宋体" w:cs="宋体"/>
          <w:b/>
          <w:color w:val="auto"/>
          <w:sz w:val="24"/>
          <w:szCs w:val="24"/>
          <w:lang w:eastAsia="zh-CN"/>
        </w:rPr>
      </w:pPr>
    </w:p>
    <w:p w14:paraId="0071E340">
      <w:pPr>
        <w:spacing w:line="420" w:lineRule="exact"/>
        <w:ind w:firstLine="482" w:firstLineChars="200"/>
        <w:rPr>
          <w:rFonts w:hint="eastAsia" w:ascii="宋体" w:hAnsi="宋体" w:eastAsia="宋体" w:cs="宋体"/>
          <w:b/>
          <w:color w:val="auto"/>
          <w:sz w:val="24"/>
          <w:szCs w:val="24"/>
          <w:lang w:eastAsia="zh-CN"/>
        </w:rPr>
      </w:pPr>
    </w:p>
    <w:p w14:paraId="68E8C167">
      <w:pPr>
        <w:spacing w:line="420" w:lineRule="exact"/>
        <w:ind w:firstLine="482" w:firstLineChars="200"/>
        <w:rPr>
          <w:rFonts w:hint="eastAsia" w:ascii="宋体" w:hAnsi="宋体" w:eastAsia="宋体" w:cs="宋体"/>
          <w:b/>
          <w:color w:val="auto"/>
          <w:sz w:val="24"/>
          <w:szCs w:val="24"/>
          <w:lang w:eastAsia="zh-CN"/>
        </w:rPr>
      </w:pPr>
    </w:p>
    <w:p w14:paraId="0361BBBC">
      <w:pPr>
        <w:pStyle w:val="11"/>
        <w:wordWrap w:val="0"/>
        <w:spacing w:line="360" w:lineRule="auto"/>
        <w:ind w:firstLine="482"/>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rPr>
        <w:t xml:space="preserve">  </w:t>
      </w:r>
      <w:r>
        <w:rPr>
          <w:rFonts w:hint="eastAsia" w:ascii="宋体" w:hAnsi="宋体" w:cs="宋体"/>
          <w:b/>
          <w:color w:val="auto"/>
          <w:sz w:val="24"/>
          <w:szCs w:val="24"/>
          <w:lang w:val="en-US" w:eastAsia="zh-CN"/>
        </w:rPr>
        <w:t xml:space="preserve"> </w:t>
      </w:r>
      <w:r>
        <w:rPr>
          <w:rFonts w:hint="eastAsia" w:ascii="宋体" w:hAnsi="宋体" w:eastAsia="宋体" w:cs="宋体"/>
          <w:b/>
          <w:color w:val="auto"/>
          <w:sz w:val="24"/>
          <w:szCs w:val="24"/>
        </w:rPr>
        <w:t>注：</w:t>
      </w:r>
      <w:r>
        <w:rPr>
          <w:rFonts w:hint="eastAsia" w:ascii="宋体" w:hAnsi="宋体" w:eastAsia="宋体" w:cs="宋体"/>
          <w:b/>
          <w:bCs/>
          <w:color w:val="auto"/>
          <w:spacing w:val="-4"/>
          <w:kern w:val="2"/>
          <w:sz w:val="24"/>
          <w:szCs w:val="24"/>
          <w:lang w:val="en-US" w:eastAsia="zh-CN" w:bidi="ar"/>
        </w:rPr>
        <w:t>原承租人按规定报名并参加竞买的，</w:t>
      </w:r>
      <w:r>
        <w:rPr>
          <w:rFonts w:hint="eastAsia" w:ascii="宋体" w:hAnsi="宋体" w:eastAsia="宋体" w:cs="宋体"/>
          <w:b/>
          <w:color w:val="auto"/>
          <w:sz w:val="24"/>
          <w:szCs w:val="24"/>
        </w:rPr>
        <w:t>在同等条件下享有优先承租权。如未报名的,则视为放弃优先租赁权。</w:t>
      </w:r>
    </w:p>
    <w:p w14:paraId="789A0456">
      <w:pPr>
        <w:spacing w:line="420" w:lineRule="exact"/>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257C597">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竞买人应为注册在宁波市内拥有独立法人资格的企业，竞买人登记证件符合国家有关规定，不存在法律障碍。不接收联合体报名。</w:t>
      </w:r>
    </w:p>
    <w:p w14:paraId="081F4D7D">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竞买人在竞价前到现场查看（以实地看样为准），自行了解相关政策及规定，同意遵守《房屋租赁合同》和《竞价须知》。具有良好的商业信誉和财务状况，在工商、税务、银行、检察等部门没有不良信誉记录，遵纪守法；没有违规经营、恶意拖欠房屋租金、不能诚信经营、违约等不良行为。</w:t>
      </w:r>
    </w:p>
    <w:p w14:paraId="176CB26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7516CD0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17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FB194A">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4C95C7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7F184F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4246066">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7271774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DC6457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4550DE4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0550F4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6FC7BBB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2C4E0EE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1852D85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85D109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AD5333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74C5A67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94B6059">
      <w:pPr>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sz w:val="24"/>
          <w:lang w:val="en-US" w:eastAsia="zh-CN"/>
        </w:rPr>
        <w:t>房屋（土地）</w:t>
      </w:r>
      <w:r>
        <w:rPr>
          <w:rFonts w:hint="eastAsia"/>
          <w:sz w:val="24"/>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0"/>
          <w:kern w:val="0"/>
          <w:sz w:val="24"/>
          <w:szCs w:val="24"/>
          <w:u w:val="single"/>
          <w:lang w:eastAsia="zh-CN"/>
        </w:rPr>
        <w:t>为</w:t>
      </w:r>
      <w:r>
        <w:rPr>
          <w:rFonts w:hint="eastAsia" w:ascii="宋体" w:hAnsi="宋体" w:cs="宋体"/>
          <w:b/>
          <w:bCs/>
          <w:color w:val="auto"/>
          <w:spacing w:val="0"/>
          <w:kern w:val="0"/>
          <w:sz w:val="24"/>
          <w:szCs w:val="24"/>
          <w:u w:val="single"/>
          <w:lang w:val="en-US" w:eastAsia="zh-CN"/>
        </w:rPr>
        <w:t>年租金的10%。</w:t>
      </w:r>
      <w:r>
        <w:rPr>
          <w:rFonts w:hint="eastAsia" w:ascii="宋体" w:hAnsi="宋体" w:eastAsia="宋体" w:cs="宋体"/>
          <w:b/>
          <w:bCs/>
          <w:color w:val="auto"/>
          <w:spacing w:val="0"/>
          <w:kern w:val="0"/>
          <w:sz w:val="24"/>
          <w:szCs w:val="24"/>
          <w:u w:val="single"/>
          <w:lang w:val="en-US" w:eastAsia="zh-CN"/>
        </w:rPr>
        <w:t>合</w:t>
      </w:r>
      <w:r>
        <w:rPr>
          <w:rFonts w:hint="eastAsia" w:ascii="宋体" w:hAnsi="宋体" w:cs="宋体"/>
          <w:b/>
          <w:bCs/>
          <w:color w:val="auto"/>
          <w:kern w:val="0"/>
          <w:sz w:val="24"/>
          <w:szCs w:val="24"/>
          <w:u w:val="single"/>
          <w:lang w:val="en-US" w:eastAsia="zh-CN"/>
        </w:rPr>
        <w:t>同履约完毕后无息退还，具体以届时签署的《房屋（土地）租赁合同》</w:t>
      </w:r>
      <w:r>
        <w:rPr>
          <w:rFonts w:hint="eastAsia" w:ascii="宋体" w:hAnsi="宋体" w:cs="宋体"/>
          <w:b/>
          <w:bCs/>
          <w:color w:val="auto"/>
          <w:spacing w:val="0"/>
          <w:kern w:val="0"/>
          <w:sz w:val="24"/>
          <w:szCs w:val="24"/>
          <w:u w:val="single"/>
          <w:lang w:val="en-US" w:eastAsia="zh-CN"/>
        </w:rPr>
        <w:t>相关条款为准</w:t>
      </w:r>
      <w:r>
        <w:rPr>
          <w:rFonts w:hint="eastAsia" w:ascii="宋体" w:hAnsi="宋体" w:eastAsia="宋体" w:cs="宋体"/>
          <w:b/>
          <w:bCs/>
          <w:color w:val="auto"/>
          <w:kern w:val="0"/>
          <w:sz w:val="24"/>
          <w:szCs w:val="24"/>
          <w:u w:val="single"/>
        </w:rPr>
        <w:t>）</w:t>
      </w:r>
      <w:r>
        <w:rPr>
          <w:rFonts w:hint="eastAsia"/>
          <w:sz w:val="24"/>
        </w:rPr>
        <w:t>付至委托人指定帐户</w:t>
      </w:r>
      <w:r>
        <w:rPr>
          <w:rFonts w:hint="eastAsia"/>
          <w:sz w:val="24"/>
          <w:lang w:eastAsia="zh-CN"/>
        </w:rPr>
        <w:t>：</w:t>
      </w:r>
      <w:r>
        <w:rPr>
          <w:rFonts w:hint="eastAsia" w:eastAsia="宋体"/>
          <w:sz w:val="24"/>
          <w:lang w:eastAsia="zh-CN"/>
        </w:rPr>
        <w:t>名称:</w:t>
      </w:r>
      <w:r>
        <w:rPr>
          <w:rFonts w:hint="eastAsia" w:ascii="宋体" w:hAnsi="宋体" w:eastAsia="宋体" w:cs="宋体"/>
          <w:color w:val="auto"/>
          <w:sz w:val="24"/>
          <w:szCs w:val="24"/>
          <w:lang w:eastAsia="zh-CN"/>
        </w:rPr>
        <w:t>宁波市镇海区危化品运输综合服务有限公司</w:t>
      </w:r>
      <w:r>
        <w:rPr>
          <w:rFonts w:hint="eastAsia" w:eastAsia="宋体"/>
          <w:sz w:val="24"/>
          <w:lang w:eastAsia="zh-CN"/>
        </w:rPr>
        <w:t xml:space="preserve"> </w:t>
      </w:r>
      <w:r>
        <w:rPr>
          <w:rFonts w:hint="eastAsia" w:eastAsia="宋体"/>
          <w:sz w:val="24"/>
          <w:lang w:val="en-US" w:eastAsia="zh-CN"/>
        </w:rPr>
        <w:t xml:space="preserve"> </w:t>
      </w:r>
      <w:r>
        <w:rPr>
          <w:rFonts w:hint="eastAsia" w:eastAsia="宋体"/>
          <w:sz w:val="24"/>
          <w:lang w:eastAsia="zh-CN"/>
        </w:rPr>
        <w:t>账号：</w:t>
      </w:r>
      <w:r>
        <w:rPr>
          <w:rFonts w:hint="eastAsia" w:ascii="宋体" w:hAnsi="宋体" w:eastAsia="宋体" w:cs="宋体"/>
          <w:color w:val="auto"/>
          <w:sz w:val="24"/>
          <w:szCs w:val="24"/>
          <w:lang w:val="en-US" w:eastAsia="zh-CN"/>
        </w:rPr>
        <w:t>364963916843</w:t>
      </w:r>
      <w:r>
        <w:rPr>
          <w:rFonts w:hint="eastAsia" w:eastAsia="宋体"/>
          <w:sz w:val="24"/>
          <w:lang w:eastAsia="zh-CN"/>
        </w:rPr>
        <w:t xml:space="preserve"> 开户行：</w:t>
      </w:r>
      <w:r>
        <w:rPr>
          <w:rFonts w:hint="eastAsia" w:ascii="宋体" w:hAnsi="宋体" w:eastAsia="宋体" w:cs="宋体"/>
          <w:color w:val="auto"/>
          <w:sz w:val="24"/>
          <w:szCs w:val="24"/>
          <w:lang w:eastAsia="zh-CN"/>
        </w:rPr>
        <w:t>中国银行镇海分行</w:t>
      </w:r>
      <w:r>
        <w:rPr>
          <w:rFonts w:hint="eastAsia" w:eastAsia="宋体"/>
          <w:sz w:val="24"/>
          <w:lang w:eastAsia="zh-CN"/>
        </w:rPr>
        <w:t xml:space="preserve"> ；</w:t>
      </w:r>
      <w:r>
        <w:rPr>
          <w:rFonts w:hint="eastAsia" w:eastAsia="宋体"/>
          <w:sz w:val="24"/>
        </w:rPr>
        <w:t>并根据《</w:t>
      </w:r>
      <w:r>
        <w:rPr>
          <w:rFonts w:hint="eastAsia" w:eastAsia="宋体"/>
          <w:sz w:val="24"/>
          <w:lang w:eastAsia="zh-CN"/>
        </w:rPr>
        <w:t>竞价</w:t>
      </w:r>
      <w:r>
        <w:rPr>
          <w:rFonts w:hint="eastAsia" w:eastAsia="宋体"/>
          <w:sz w:val="24"/>
        </w:rPr>
        <w:t>成交确认书》与</w:t>
      </w:r>
      <w:r>
        <w:rPr>
          <w:rFonts w:hint="eastAsia" w:eastAsia="宋体"/>
          <w:sz w:val="24"/>
          <w:lang w:eastAsia="zh-CN"/>
        </w:rPr>
        <w:t>委托人（出租人）</w:t>
      </w:r>
      <w:r>
        <w:rPr>
          <w:rFonts w:hint="eastAsia" w:eastAsia="宋体"/>
          <w:sz w:val="24"/>
        </w:rPr>
        <w:t>签订</w:t>
      </w:r>
      <w:r>
        <w:rPr>
          <w:rFonts w:hint="eastAsia" w:eastAsia="宋体"/>
          <w:sz w:val="24"/>
          <w:lang w:eastAsia="zh-CN"/>
        </w:rPr>
        <w:t>《</w:t>
      </w:r>
      <w:r>
        <w:rPr>
          <w:rFonts w:hint="eastAsia"/>
          <w:sz w:val="24"/>
          <w:lang w:val="en-US" w:eastAsia="zh-CN"/>
        </w:rPr>
        <w:t>房屋（土地）</w:t>
      </w:r>
      <w:r>
        <w:rPr>
          <w:rFonts w:hint="eastAsia"/>
          <w:sz w:val="24"/>
        </w:rPr>
        <w:t>租赁合同</w:t>
      </w:r>
      <w:r>
        <w:rPr>
          <w:rFonts w:hint="eastAsia" w:eastAsia="宋体"/>
          <w:sz w:val="24"/>
          <w:lang w:eastAsia="zh-CN"/>
        </w:rPr>
        <w:t>》；</w:t>
      </w:r>
    </w:p>
    <w:p w14:paraId="3A4569B0">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449D384">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C411DC7">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sz w:val="24"/>
          <w:lang w:val="en-US"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3900F2B">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9CA0921">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32352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30FE48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16F3F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sz w:val="24"/>
          <w:lang w:val="en-US" w:eastAsia="zh-CN"/>
        </w:rPr>
        <w:t>房屋土地租赁合同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53C3FF0D">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2EB8150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0BFA63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22EED68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0F2658FD">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1EE8115">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34733129">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7573FEEA">
      <w:pPr>
        <w:pStyle w:val="8"/>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854995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3A6144E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C91084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50ED103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sz w:val="24"/>
          <w:lang w:val="en-US"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71490C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A83AD1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B252B05">
      <w:pPr>
        <w:pStyle w:val="5"/>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3734A1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0410F5B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43BD3AB4">
      <w:pPr>
        <w:keepNext w:val="0"/>
        <w:keepLines w:val="0"/>
        <w:pageBreakBefore w:val="0"/>
        <w:widowControl w:val="0"/>
        <w:kinsoku/>
        <w:wordWrap/>
        <w:overflowPunct/>
        <w:topLinePunct w:val="0"/>
        <w:autoSpaceDE/>
        <w:autoSpaceDN/>
        <w:bidi w:val="0"/>
        <w:adjustRightInd/>
        <w:snapToGrid/>
        <w:spacing w:line="500" w:lineRule="exact"/>
        <w:ind w:firstLine="1446" w:firstLineChars="6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《房屋（土地）租赁合同》《出租资产安全责任告知书》</w:t>
      </w:r>
    </w:p>
    <w:p w14:paraId="0106F30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54A94A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bookmarkStart w:id="0" w:name="_GoBack"/>
      <w:bookmarkEnd w:id="0"/>
      <w:r>
        <w:rPr>
          <w:rFonts w:hint="eastAsia" w:ascii="宋体" w:hAnsi="宋体" w:eastAsia="宋体" w:cs="宋体"/>
          <w:color w:val="auto"/>
          <w:sz w:val="24"/>
          <w:szCs w:val="24"/>
        </w:rPr>
        <w:t>日</w:t>
      </w:r>
    </w:p>
    <w:p w14:paraId="70590E7D">
      <w:pPr>
        <w:pStyle w:val="4"/>
        <w:keepNext w:val="0"/>
        <w:keepLines w:val="0"/>
        <w:pageBreakBefore w:val="0"/>
        <w:widowControl/>
        <w:kinsoku w:val="0"/>
        <w:wordWrap/>
        <w:overflowPunct/>
        <w:topLinePunct w:val="0"/>
        <w:autoSpaceDE w:val="0"/>
        <w:autoSpaceDN w:val="0"/>
        <w:bidi w:val="0"/>
        <w:adjustRightInd w:val="0"/>
        <w:snapToGrid w:val="0"/>
        <w:spacing w:before="130" w:line="560" w:lineRule="exact"/>
        <w:jc w:val="center"/>
        <w:textAlignment w:val="baseline"/>
        <w:outlineLvl w:val="0"/>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pPr>
      <w:r>
        <w:rPr>
          <w:rFonts w:hint="eastAsia" w:ascii="仿宋" w:hAnsi="仿宋" w:eastAsia="仿宋" w:cs="仿宋"/>
          <w:b w:val="0"/>
          <w:bCs w:val="0"/>
          <w:snapToGrid w:val="0"/>
          <w:color w:val="000000"/>
          <w:spacing w:val="-1"/>
          <w:kern w:val="0"/>
          <w:sz w:val="44"/>
          <w:szCs w:val="44"/>
          <w:lang w:val="en-US" w:eastAsia="zh-CN"/>
          <w14:textOutline w14:w="7282" w14:cap="sq" w14:cmpd="sng">
            <w14:solidFill>
              <w14:srgbClr w14:val="000000"/>
            </w14:solidFill>
            <w14:prstDash w14:val="solid"/>
            <w14:bevel/>
          </w14:textOutline>
        </w:rPr>
        <w:t>房屋（土地）</w:t>
      </w: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租赁合同</w:t>
      </w:r>
    </w:p>
    <w:p w14:paraId="17BB525E">
      <w:pPr>
        <w:keepNext w:val="0"/>
        <w:keepLines w:val="0"/>
        <w:pageBreakBefore w:val="0"/>
        <w:wordWrap/>
        <w:overflowPunct/>
        <w:topLinePunct w:val="0"/>
        <w:bidi w:val="0"/>
        <w:spacing w:line="560" w:lineRule="exact"/>
        <w:ind w:firstLine="4200" w:firstLineChars="1500"/>
        <w:rPr>
          <w:rFonts w:hint="eastAsia"/>
          <w:sz w:val="28"/>
          <w:szCs w:val="28"/>
          <w:u w:val="single"/>
        </w:rPr>
      </w:pPr>
      <w:r>
        <w:rPr>
          <w:rFonts w:hint="eastAsia"/>
          <w:sz w:val="28"/>
          <w:szCs w:val="28"/>
        </w:rPr>
        <w:t>合同编号：</w:t>
      </w:r>
      <w:r>
        <w:rPr>
          <w:rFonts w:hint="eastAsia"/>
          <w:sz w:val="28"/>
          <w:szCs w:val="28"/>
          <w:u w:val="single"/>
        </w:rPr>
        <w:t xml:space="preserve">  </w:t>
      </w:r>
      <w:r>
        <w:rPr>
          <w:rFonts w:hint="eastAsia"/>
          <w:color w:val="auto"/>
          <w:sz w:val="28"/>
          <w:szCs w:val="28"/>
          <w:u w:val="single"/>
          <w:lang w:val="en-US" w:eastAsia="zh-CN"/>
        </w:rPr>
        <w:t xml:space="preserve"> </w:t>
      </w:r>
      <w:r>
        <w:rPr>
          <w:rFonts w:hint="eastAsia"/>
          <w:sz w:val="28"/>
          <w:szCs w:val="28"/>
          <w:u w:val="single"/>
          <w:lang w:val="en-US" w:eastAsia="zh-CN"/>
        </w:rPr>
        <w:t xml:space="preserve">            </w:t>
      </w:r>
      <w:r>
        <w:rPr>
          <w:rFonts w:hint="eastAsia"/>
          <w:sz w:val="28"/>
          <w:szCs w:val="28"/>
          <w:u w:val="single"/>
        </w:rPr>
        <w:t xml:space="preserve">    </w:t>
      </w:r>
    </w:p>
    <w:p w14:paraId="5A55D9C2">
      <w:pPr>
        <w:keepNext w:val="0"/>
        <w:keepLines w:val="0"/>
        <w:pageBreakBefore w:val="0"/>
        <w:wordWrap/>
        <w:overflowPunct/>
        <w:topLinePunct w:val="0"/>
        <w:bidi w:val="0"/>
        <w:spacing w:line="560" w:lineRule="exact"/>
        <w:ind w:firstLine="4200" w:firstLineChars="1500"/>
        <w:rPr>
          <w:rFonts w:hint="eastAsia"/>
          <w:sz w:val="28"/>
          <w:szCs w:val="28"/>
        </w:rPr>
      </w:pPr>
      <w:r>
        <w:rPr>
          <w:rFonts w:hint="eastAsia"/>
          <w:sz w:val="28"/>
          <w:szCs w:val="28"/>
        </w:rPr>
        <w:t>签字日期：</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月</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日</w:t>
      </w:r>
    </w:p>
    <w:p w14:paraId="5044BE3E">
      <w:pPr>
        <w:keepNext w:val="0"/>
        <w:keepLines w:val="0"/>
        <w:pageBreakBefore w:val="0"/>
        <w:wordWrap/>
        <w:overflowPunct/>
        <w:topLinePunct w:val="0"/>
        <w:bidi w:val="0"/>
        <w:spacing w:after="312" w:afterLines="100" w:line="560" w:lineRule="exact"/>
        <w:ind w:firstLine="4200" w:firstLineChars="1500"/>
        <w:rPr>
          <w:rFonts w:hint="eastAsia"/>
          <w:sz w:val="28"/>
          <w:szCs w:val="28"/>
          <w:u w:val="single"/>
        </w:rPr>
      </w:pPr>
      <w:r>
        <w:rPr>
          <w:rFonts w:hint="eastAsia"/>
          <w:sz w:val="28"/>
          <w:szCs w:val="28"/>
        </w:rPr>
        <w:t>签订地点：</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631AC2D4">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甲方：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5F7CC978">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乙方：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ascii="宋体" w:hAnsi="宋体"/>
          <w:sz w:val="30"/>
          <w:szCs w:val="30"/>
          <w:u w:val="single"/>
        </w:rPr>
        <w:t xml:space="preserve">         </w:t>
      </w:r>
      <w:r>
        <w:rPr>
          <w:rFonts w:hint="eastAsia"/>
          <w:sz w:val="28"/>
          <w:szCs w:val="28"/>
          <w:u w:val="single"/>
        </w:rPr>
        <w:t xml:space="preserve">      </w:t>
      </w:r>
    </w:p>
    <w:p w14:paraId="08340FEA">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根据互惠互利，双方自愿的原则，经甲乙双方友好协商，甲方同</w:t>
      </w:r>
      <w:r>
        <w:rPr>
          <w:rFonts w:hint="eastAsia" w:ascii="仿宋_GB2312" w:hAnsi="仿宋_GB2312" w:eastAsia="仿宋_GB2312" w:cs="仿宋_GB2312"/>
          <w:spacing w:val="6"/>
          <w:sz w:val="32"/>
          <w:szCs w:val="32"/>
        </w:rPr>
        <w:t>意将位于危化品运输综合服务有限公司停车场内</w:t>
      </w:r>
      <w:r>
        <w:rPr>
          <w:rFonts w:hint="eastAsia" w:ascii="仿宋_GB2312" w:hAnsi="仿宋_GB2312" w:eastAsia="仿宋_GB2312" w:cs="仿宋_GB2312"/>
          <w:spacing w:val="5"/>
          <w:sz w:val="32"/>
          <w:szCs w:val="32"/>
        </w:rPr>
        <w:t>的部分</w:t>
      </w:r>
      <w:r>
        <w:rPr>
          <w:rFonts w:hint="eastAsia" w:ascii="仿宋_GB2312" w:hAnsi="仿宋_GB2312" w:eastAsia="仿宋_GB2312" w:cs="仿宋_GB2312"/>
          <w:spacing w:val="5"/>
          <w:sz w:val="32"/>
          <w:szCs w:val="32"/>
          <w:lang w:val="en-US" w:eastAsia="zh-CN"/>
        </w:rPr>
        <w:t>场地（土地）及设施设备</w:t>
      </w:r>
      <w:r>
        <w:rPr>
          <w:rFonts w:hint="eastAsia" w:ascii="仿宋_GB2312" w:hAnsi="仿宋_GB2312" w:eastAsia="仿宋_GB2312" w:cs="仿宋_GB2312"/>
          <w:spacing w:val="5"/>
          <w:sz w:val="32"/>
          <w:szCs w:val="32"/>
        </w:rPr>
        <w:t>租</w:t>
      </w:r>
      <w:r>
        <w:rPr>
          <w:rFonts w:hint="eastAsia" w:ascii="仿宋_GB2312" w:hAnsi="仿宋_GB2312" w:eastAsia="仿宋_GB2312" w:cs="仿宋_GB2312"/>
          <w:spacing w:val="-9"/>
          <w:sz w:val="32"/>
          <w:szCs w:val="32"/>
        </w:rPr>
        <w:t>赁给乙方有偿使用，乙方支付租赁费用，并订立如</w:t>
      </w:r>
      <w:r>
        <w:rPr>
          <w:rFonts w:hint="eastAsia" w:ascii="仿宋_GB2312" w:hAnsi="仿宋_GB2312" w:eastAsia="仿宋_GB2312" w:cs="仿宋_GB2312"/>
          <w:spacing w:val="-10"/>
          <w:sz w:val="32"/>
          <w:szCs w:val="32"/>
        </w:rPr>
        <w:t>下协议，以资信守。</w:t>
      </w:r>
    </w:p>
    <w:p w14:paraId="643BCDEC">
      <w:pPr>
        <w:keepNext w:val="0"/>
        <w:keepLines w:val="0"/>
        <w:pageBreakBefore w:val="0"/>
        <w:wordWrap/>
        <w:overflowPunct/>
        <w:topLinePunct w:val="0"/>
        <w:bidi w:val="0"/>
        <w:spacing w:line="560" w:lineRule="exact"/>
        <w:ind w:firstLine="562" w:firstLineChars="200"/>
        <w:rPr>
          <w:rFonts w:ascii="Verdana" w:hAnsi="Verdana"/>
          <w:b/>
          <w:sz w:val="28"/>
          <w:szCs w:val="28"/>
        </w:rPr>
      </w:pPr>
      <w:r>
        <w:rPr>
          <w:rFonts w:ascii="Verdana" w:hAnsi="Verdana"/>
          <w:b/>
          <w:sz w:val="28"/>
          <w:szCs w:val="28"/>
        </w:rPr>
        <w:t>第一条 租赁物位置、面积、功能及用途</w:t>
      </w:r>
    </w:p>
    <w:p w14:paraId="27137C8A">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本合同租赁物位于______，土地面积【】平方米（具体位置见附件平面图），土地性质为交通运输用地【】，用途限定为撬装式加油装置运营及相关配套服务。</w:t>
      </w:r>
    </w:p>
    <w:p w14:paraId="0A3D9FFE">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u w:val="none"/>
          <w:lang w:val="en-US" w:eastAsia="zh-CN"/>
        </w:rPr>
        <w:t>本</w:t>
      </w:r>
      <w:r>
        <w:rPr>
          <w:rFonts w:hint="eastAsia" w:ascii="仿宋_GB2312" w:hAnsi="仿宋_GB2312" w:eastAsia="仿宋_GB2312" w:cs="仿宋_GB2312"/>
          <w:spacing w:val="-4"/>
          <w:sz w:val="32"/>
          <w:szCs w:val="32"/>
        </w:rPr>
        <w:t>合同签署前，乙方已查看该</w:t>
      </w:r>
      <w:r>
        <w:rPr>
          <w:rFonts w:hint="eastAsia" w:ascii="仿宋_GB2312" w:hAnsi="仿宋_GB2312" w:eastAsia="仿宋_GB2312" w:cs="仿宋_GB2312"/>
          <w:spacing w:val="-4"/>
          <w:sz w:val="32"/>
          <w:szCs w:val="32"/>
          <w:lang w:eastAsia="zh-CN"/>
        </w:rPr>
        <w:t>场地</w:t>
      </w:r>
      <w:r>
        <w:rPr>
          <w:rFonts w:hint="eastAsia" w:ascii="仿宋_GB2312" w:hAnsi="仿宋_GB2312" w:eastAsia="仿宋_GB2312" w:cs="仿宋_GB2312"/>
          <w:spacing w:val="-4"/>
          <w:sz w:val="32"/>
          <w:szCs w:val="32"/>
        </w:rPr>
        <w:t>（土地），充分了解该</w:t>
      </w:r>
      <w:r>
        <w:rPr>
          <w:rFonts w:hint="eastAsia" w:ascii="仿宋_GB2312" w:hAnsi="仿宋_GB2312" w:eastAsia="仿宋_GB2312" w:cs="仿宋_GB2312"/>
          <w:spacing w:val="-4"/>
          <w:sz w:val="32"/>
          <w:szCs w:val="32"/>
          <w:lang w:eastAsia="zh-CN"/>
        </w:rPr>
        <w:t>场地</w:t>
      </w:r>
      <w:r>
        <w:rPr>
          <w:rFonts w:hint="eastAsia" w:ascii="仿宋_GB2312" w:hAnsi="仿宋_GB2312" w:eastAsia="仿宋_GB2312" w:cs="仿宋_GB2312"/>
          <w:spacing w:val="-4"/>
          <w:sz w:val="32"/>
          <w:szCs w:val="32"/>
        </w:rPr>
        <w:t>（土地）的性质、用途和现有状况，且明确认可。</w:t>
      </w:r>
    </w:p>
    <w:p w14:paraId="0D3B5316">
      <w:pPr>
        <w:keepNext w:val="0"/>
        <w:keepLines w:val="0"/>
        <w:pageBreakBefore w:val="0"/>
        <w:wordWrap/>
        <w:overflowPunct/>
        <w:topLinePunct w:val="0"/>
        <w:bidi w:val="0"/>
        <w:spacing w:line="560" w:lineRule="exact"/>
        <w:ind w:firstLine="562" w:firstLineChars="200"/>
        <w:rPr>
          <w:rFonts w:hint="default" w:ascii="Verdana" w:hAnsi="Verdana" w:eastAsia="宋体"/>
          <w:b/>
          <w:sz w:val="28"/>
          <w:szCs w:val="28"/>
          <w:lang w:val="en-US" w:eastAsia="zh-CN"/>
        </w:rPr>
      </w:pPr>
      <w:r>
        <w:rPr>
          <w:rFonts w:ascii="Verdana" w:hAnsi="Verdana"/>
          <w:b/>
          <w:sz w:val="28"/>
          <w:szCs w:val="28"/>
        </w:rPr>
        <w:t>第二条 租赁期限</w:t>
      </w:r>
      <w:r>
        <w:rPr>
          <w:rFonts w:hint="eastAsia" w:ascii="Verdana" w:hAnsi="Verdana"/>
          <w:b/>
          <w:sz w:val="28"/>
          <w:szCs w:val="28"/>
          <w:lang w:val="en-US" w:eastAsia="zh-CN"/>
        </w:rPr>
        <w:t>及租赁费用</w:t>
      </w:r>
    </w:p>
    <w:p w14:paraId="5724EF8C">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本合同租赁期限</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年。</w:t>
      </w:r>
    </w:p>
    <w:p w14:paraId="369EB628">
      <w:pPr>
        <w:pStyle w:val="4"/>
        <w:keepNext w:val="0"/>
        <w:keepLines w:val="0"/>
        <w:pageBreakBefore w:val="0"/>
        <w:wordWrap/>
        <w:overflowPunct/>
        <w:topLinePunct w:val="0"/>
        <w:bidi w:val="0"/>
        <w:spacing w:before="91" w:line="560" w:lineRule="exact"/>
        <w:ind w:left="32" w:right="97" w:firstLine="551" w:firstLineChars="0"/>
        <w:jc w:val="both"/>
        <w:rPr>
          <w:rFonts w:hint="eastAsia" w:ascii="仿宋_GB2312" w:hAnsi="仿宋_GB2312" w:eastAsia="仿宋_GB2312" w:cs="仿宋_GB2312"/>
          <w:spacing w:val="-4"/>
          <w:sz w:val="32"/>
          <w:szCs w:val="32"/>
          <w:u w:val="none"/>
          <w:lang w:val="en-US" w:eastAsia="zh-CN"/>
        </w:rPr>
      </w:pPr>
      <w:r>
        <w:rPr>
          <w:rFonts w:hint="eastAsia" w:ascii="仿宋_GB2312" w:hAnsi="仿宋_GB2312" w:eastAsia="仿宋_GB2312" w:cs="仿宋_GB2312"/>
          <w:spacing w:val="-4"/>
          <w:sz w:val="32"/>
          <w:szCs w:val="32"/>
          <w:u w:val="none"/>
          <w:lang w:val="en-US" w:eastAsia="zh-CN"/>
        </w:rPr>
        <w:t>自    年    月    日起至    年    月    日止。</w:t>
      </w:r>
    </w:p>
    <w:p w14:paraId="5A3E15C6">
      <w:pPr>
        <w:pStyle w:val="4"/>
        <w:keepNext w:val="0"/>
        <w:keepLines w:val="0"/>
        <w:pageBreakBefore w:val="0"/>
        <w:wordWrap/>
        <w:overflowPunct/>
        <w:topLinePunct w:val="0"/>
        <w:bidi w:val="0"/>
        <w:spacing w:before="91"/>
        <w:ind w:left="32" w:right="97" w:firstLine="624" w:firstLineChars="200"/>
        <w:rPr>
          <w:rFonts w:hint="eastAsia"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租金采用首年基准价+逐年递增模式：</w:t>
      </w:r>
    </w:p>
    <w:p w14:paraId="76FADE41">
      <w:pPr>
        <w:pStyle w:val="4"/>
        <w:keepNext w:val="0"/>
        <w:keepLines w:val="0"/>
        <w:pageBreakBefore w:val="0"/>
        <w:wordWrap/>
        <w:overflowPunct/>
        <w:topLinePunct w:val="0"/>
        <w:bidi w:val="0"/>
        <w:spacing w:before="91"/>
        <w:ind w:left="32" w:right="97" w:firstLine="624" w:firstLineChars="200"/>
        <w:rPr>
          <w:rFonts w:hint="eastAsia"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首年租金【】</w:t>
      </w:r>
      <w:r>
        <w:rPr>
          <w:rFonts w:hint="eastAsia" w:ascii="仿宋_GB2312" w:hAnsi="仿宋_GB2312" w:eastAsia="仿宋_GB2312" w:cs="仿宋_GB2312"/>
          <w:spacing w:val="-4"/>
          <w:sz w:val="32"/>
          <w:szCs w:val="32"/>
          <w:lang w:val="en-US" w:eastAsia="zh-CN"/>
        </w:rPr>
        <w:t>元/平/月，首年总租金</w:t>
      </w:r>
      <w:r>
        <w:rPr>
          <w:rFonts w:hint="eastAsia" w:ascii="仿宋_GB2312" w:hAnsi="仿宋_GB2312" w:eastAsia="仿宋_GB2312" w:cs="仿宋_GB2312"/>
          <w:spacing w:val="-4"/>
          <w:sz w:val="32"/>
          <w:szCs w:val="32"/>
          <w:lang w:eastAsia="zh-CN"/>
        </w:rPr>
        <w:t>【】万元，</w:t>
      </w:r>
      <w:r>
        <w:rPr>
          <w:rFonts w:hint="eastAsia" w:ascii="仿宋_GB2312" w:hAnsi="仿宋_GB2312" w:eastAsia="仿宋_GB2312" w:cs="仿宋_GB2312"/>
          <w:spacing w:val="-4"/>
          <w:sz w:val="32"/>
          <w:szCs w:val="32"/>
          <w:lang w:val="en-US" w:eastAsia="zh-CN"/>
        </w:rPr>
        <w:t>后续年度</w:t>
      </w:r>
      <w:r>
        <w:rPr>
          <w:rFonts w:hint="eastAsia" w:ascii="仿宋_GB2312" w:hAnsi="仿宋_GB2312" w:eastAsia="仿宋_GB2312" w:cs="仿宋_GB2312"/>
          <w:spacing w:val="-4"/>
          <w:sz w:val="32"/>
          <w:szCs w:val="32"/>
          <w:lang w:eastAsia="zh-CN"/>
        </w:rPr>
        <w:t>每年租金同比递增5%，计算公式为：当年租金=上年租金×(1+5%)。</w:t>
      </w:r>
    </w:p>
    <w:p w14:paraId="4A51D54D">
      <w:pPr>
        <w:keepNext w:val="0"/>
        <w:keepLines w:val="0"/>
        <w:pageBreakBefore w:val="0"/>
        <w:wordWrap/>
        <w:overflowPunct/>
        <w:topLinePunct w:val="0"/>
        <w:bidi w:val="0"/>
        <w:spacing w:line="560" w:lineRule="exact"/>
        <w:ind w:firstLine="562" w:firstLineChars="200"/>
        <w:rPr>
          <w:rFonts w:hint="default" w:ascii="Verdana" w:hAnsi="Verdana" w:eastAsia="宋体" w:cs="Times New Roman"/>
          <w:b/>
          <w:sz w:val="28"/>
          <w:szCs w:val="28"/>
          <w:lang w:val="en-US" w:eastAsia="zh-CN"/>
        </w:rPr>
      </w:pPr>
      <w:r>
        <w:rPr>
          <w:rFonts w:ascii="Verdana" w:hAnsi="Verdana" w:cs="Times New Roman"/>
          <w:b/>
          <w:sz w:val="28"/>
          <w:szCs w:val="28"/>
        </w:rPr>
        <w:t>第三条</w:t>
      </w:r>
      <w:r>
        <w:rPr>
          <w:rFonts w:hint="eastAsia" w:ascii="Verdana" w:hAnsi="Verdana" w:cs="Times New Roman"/>
          <w:b/>
          <w:sz w:val="28"/>
          <w:szCs w:val="28"/>
        </w:rPr>
        <w:t xml:space="preserve"> </w:t>
      </w:r>
      <w:r>
        <w:rPr>
          <w:rFonts w:hint="eastAsia" w:ascii="Verdana" w:hAnsi="Verdana" w:cs="Times New Roman"/>
          <w:b/>
          <w:sz w:val="28"/>
          <w:szCs w:val="28"/>
          <w:lang w:val="en-US" w:eastAsia="zh-CN"/>
        </w:rPr>
        <w:t>付款期限及付款方式</w:t>
      </w:r>
    </w:p>
    <w:p w14:paraId="27C2E485">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spacing w:val="-4"/>
          <w:sz w:val="32"/>
          <w:szCs w:val="32"/>
          <w:lang w:val="en-US" w:eastAsia="zh-CN"/>
        </w:rPr>
        <w:t>1.本合同生效之日起</w:t>
      </w:r>
      <w:r>
        <w:rPr>
          <w:rFonts w:hint="eastAsia" w:ascii="仿宋_GB2312" w:hAnsi="仿宋_GB2312" w:eastAsia="仿宋_GB2312" w:cs="仿宋_GB2312"/>
          <w:color w:val="auto"/>
          <w:spacing w:val="-4"/>
          <w:sz w:val="32"/>
          <w:szCs w:val="32"/>
          <w:lang w:val="en-US" w:eastAsia="zh-CN"/>
        </w:rPr>
        <w:t>10个工</w:t>
      </w:r>
      <w:r>
        <w:rPr>
          <w:rFonts w:hint="eastAsia" w:ascii="仿宋_GB2312" w:hAnsi="仿宋_GB2312" w:eastAsia="仿宋_GB2312" w:cs="仿宋_GB2312"/>
          <w:spacing w:val="-4"/>
          <w:sz w:val="32"/>
          <w:szCs w:val="32"/>
          <w:lang w:val="en-US" w:eastAsia="zh-CN"/>
        </w:rPr>
        <w:t>作日内，甲方将</w:t>
      </w:r>
      <w:r>
        <w:rPr>
          <w:rFonts w:hint="eastAsia" w:ascii="仿宋_GB2312" w:hAnsi="仿宋_GB2312" w:eastAsia="仿宋_GB2312" w:cs="仿宋_GB2312"/>
          <w:spacing w:val="-4"/>
          <w:sz w:val="32"/>
          <w:szCs w:val="32"/>
        </w:rPr>
        <w:t>租赁物</w:t>
      </w:r>
      <w:r>
        <w:rPr>
          <w:rFonts w:hint="eastAsia" w:ascii="仿宋_GB2312" w:hAnsi="仿宋_GB2312" w:eastAsia="仿宋_GB2312" w:cs="仿宋_GB2312"/>
          <w:spacing w:val="-4"/>
          <w:sz w:val="32"/>
          <w:szCs w:val="32"/>
          <w:lang w:val="en-US" w:eastAsia="zh-CN"/>
        </w:rPr>
        <w:t>按现状交付乙方使用，且乙方同意按</w:t>
      </w:r>
      <w:r>
        <w:rPr>
          <w:rFonts w:hint="eastAsia" w:ascii="仿宋_GB2312" w:hAnsi="仿宋_GB2312" w:eastAsia="仿宋_GB2312" w:cs="仿宋_GB2312"/>
          <w:spacing w:val="-4"/>
          <w:sz w:val="32"/>
          <w:szCs w:val="32"/>
        </w:rPr>
        <w:t>租赁物</w:t>
      </w:r>
      <w:r>
        <w:rPr>
          <w:rFonts w:hint="eastAsia" w:ascii="仿宋_GB2312" w:hAnsi="仿宋_GB2312" w:eastAsia="仿宋_GB2312" w:cs="仿宋_GB2312"/>
          <w:spacing w:val="-4"/>
          <w:sz w:val="32"/>
          <w:szCs w:val="32"/>
          <w:lang w:val="en-US" w:eastAsia="zh-CN"/>
        </w:rPr>
        <w:t>的现状承租。交付时</w:t>
      </w:r>
      <w:r>
        <w:rPr>
          <w:rFonts w:hint="eastAsia" w:ascii="仿宋_GB2312" w:hAnsi="仿宋_GB2312" w:eastAsia="仿宋_GB2312" w:cs="仿宋_GB2312"/>
          <w:color w:val="auto"/>
          <w:spacing w:val="-4"/>
          <w:sz w:val="32"/>
          <w:szCs w:val="32"/>
          <w:lang w:val="en-US" w:eastAsia="zh-CN"/>
        </w:rPr>
        <w:t>双方制作交接清单作为本合同附件。</w:t>
      </w:r>
    </w:p>
    <w:p w14:paraId="3869B7DD">
      <w:pPr>
        <w:pStyle w:val="4"/>
        <w:keepNext w:val="0"/>
        <w:keepLines w:val="0"/>
        <w:pageBreakBefore w:val="0"/>
        <w:wordWrap/>
        <w:overflowPunct/>
        <w:topLinePunct w:val="0"/>
        <w:bidi w:val="0"/>
        <w:spacing w:before="91" w:line="560" w:lineRule="exact"/>
        <w:ind w:right="97" w:firstLine="624" w:firstLineChars="200"/>
        <w:jc w:val="both"/>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2.租赁费用一年一付，合同期限内第一年租赁费，</w:t>
      </w:r>
      <w:r>
        <w:rPr>
          <w:rFonts w:hint="eastAsia" w:ascii="方正仿宋_GB2312" w:hAnsi="方正仿宋_GB2312" w:eastAsia="方正仿宋_GB2312" w:cs="方正仿宋_GB2312"/>
          <w:color w:val="auto"/>
          <w:spacing w:val="6"/>
          <w:sz w:val="32"/>
          <w:szCs w:val="32"/>
        </w:rPr>
        <w:t>乙方应在本合同签订之日起</w:t>
      </w:r>
      <w:r>
        <w:rPr>
          <w:rFonts w:hint="eastAsia" w:ascii="方正仿宋_GB2312" w:hAnsi="方正仿宋_GB2312" w:eastAsia="方正仿宋_GB2312" w:cs="方正仿宋_GB2312"/>
          <w:color w:val="auto"/>
          <w:spacing w:val="6"/>
          <w:sz w:val="32"/>
          <w:szCs w:val="32"/>
          <w:lang w:val="en-US" w:eastAsia="zh-CN"/>
        </w:rPr>
        <w:t>3</w:t>
      </w:r>
      <w:r>
        <w:rPr>
          <w:rFonts w:hint="eastAsia" w:ascii="方正仿宋_GB2312" w:hAnsi="方正仿宋_GB2312" w:eastAsia="方正仿宋_GB2312" w:cs="方正仿宋_GB2312"/>
          <w:color w:val="auto"/>
          <w:spacing w:val="6"/>
          <w:sz w:val="32"/>
          <w:szCs w:val="32"/>
        </w:rPr>
        <w:t>0</w:t>
      </w:r>
      <w:r>
        <w:rPr>
          <w:rFonts w:hint="eastAsia" w:ascii="方正仿宋_GB2312" w:hAnsi="方正仿宋_GB2312" w:eastAsia="方正仿宋_GB2312" w:cs="方正仿宋_GB2312"/>
          <w:color w:val="auto"/>
          <w:spacing w:val="6"/>
          <w:sz w:val="32"/>
          <w:szCs w:val="32"/>
          <w:lang w:val="en-US" w:eastAsia="zh-CN"/>
        </w:rPr>
        <w:t>个工作日</w:t>
      </w:r>
      <w:r>
        <w:rPr>
          <w:rFonts w:hint="eastAsia" w:ascii="方正仿宋_GB2312" w:hAnsi="方正仿宋_GB2312" w:eastAsia="方正仿宋_GB2312" w:cs="方正仿宋_GB2312"/>
          <w:color w:val="auto"/>
          <w:spacing w:val="6"/>
          <w:sz w:val="32"/>
          <w:szCs w:val="32"/>
        </w:rPr>
        <w:t>内一次性向甲方支付，共计人民币</w:t>
      </w:r>
      <w:r>
        <w:rPr>
          <w:rFonts w:hint="eastAsia" w:ascii="方正仿宋_GB2312" w:hAnsi="方正仿宋_GB2312" w:eastAsia="方正仿宋_GB2312" w:cs="方正仿宋_GB2312"/>
          <w:color w:val="auto"/>
          <w:spacing w:val="6"/>
          <w:sz w:val="32"/>
          <w:szCs w:val="32"/>
          <w:u w:val="single"/>
          <w:lang w:val="en-US" w:eastAsia="zh-CN"/>
        </w:rPr>
        <w:t xml:space="preserve">   </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元（大写：</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）。下年度</w:t>
      </w:r>
      <w:r>
        <w:rPr>
          <w:rFonts w:hint="eastAsia" w:ascii="方正仿宋_GB2312" w:hAnsi="方正仿宋_GB2312" w:eastAsia="方正仿宋_GB2312" w:cs="方正仿宋_GB2312"/>
          <w:color w:val="auto"/>
          <w:spacing w:val="6"/>
          <w:sz w:val="32"/>
          <w:szCs w:val="32"/>
          <w:lang w:eastAsia="zh-CN"/>
        </w:rPr>
        <w:t>的</w:t>
      </w:r>
      <w:r>
        <w:rPr>
          <w:rFonts w:hint="eastAsia" w:ascii="方正仿宋_GB2312" w:hAnsi="方正仿宋_GB2312" w:eastAsia="方正仿宋_GB2312" w:cs="方正仿宋_GB2312"/>
          <w:color w:val="auto"/>
          <w:spacing w:val="6"/>
          <w:sz w:val="32"/>
          <w:szCs w:val="32"/>
        </w:rPr>
        <w:t>租赁费用</w:t>
      </w:r>
      <w:r>
        <w:rPr>
          <w:rFonts w:hint="eastAsia" w:ascii="方正仿宋_GB2312" w:hAnsi="方正仿宋_GB2312" w:eastAsia="方正仿宋_GB2312" w:cs="方正仿宋_GB2312"/>
          <w:color w:val="auto"/>
          <w:spacing w:val="6"/>
          <w:sz w:val="32"/>
          <w:szCs w:val="32"/>
          <w:lang w:val="en-US" w:eastAsia="zh-CN"/>
        </w:rPr>
        <w:t>需在上一年度周期结束前的30个工作日内支付完毕</w:t>
      </w:r>
      <w:r>
        <w:rPr>
          <w:rFonts w:hint="eastAsia" w:ascii="方正仿宋_GB2312" w:hAnsi="方正仿宋_GB2312" w:eastAsia="方正仿宋_GB2312" w:cs="方正仿宋_GB2312"/>
          <w:color w:val="auto"/>
          <w:spacing w:val="6"/>
          <w:sz w:val="32"/>
          <w:szCs w:val="32"/>
        </w:rPr>
        <w:t>。</w:t>
      </w:r>
    </w:p>
    <w:p w14:paraId="2497C885">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3.付款方式：乙方应以转账的形式将租金交至甲方指定帐户。</w:t>
      </w:r>
    </w:p>
    <w:p w14:paraId="1F94EAB5">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账户名称：宁波市镇海区危化品运输综合服务有限公司</w:t>
      </w:r>
    </w:p>
    <w:p w14:paraId="2C7F2C03">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开户行：中国银行镇海支行</w:t>
      </w:r>
    </w:p>
    <w:p w14:paraId="1536843C">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帐号：364963916843</w:t>
      </w:r>
    </w:p>
    <w:p w14:paraId="05E7ACA5">
      <w:pPr>
        <w:pStyle w:val="4"/>
        <w:keepNext w:val="0"/>
        <w:keepLines w:val="0"/>
        <w:pageBreakBefore w:val="0"/>
        <w:numPr>
          <w:ilvl w:val="0"/>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3.甲方收到乙方租金后15个工作日内开具正规发票。</w:t>
      </w:r>
    </w:p>
    <w:p w14:paraId="0BD28EA0">
      <w:pPr>
        <w:keepNext w:val="0"/>
        <w:keepLines w:val="0"/>
        <w:pageBreakBefore w:val="0"/>
        <w:wordWrap/>
        <w:overflowPunct/>
        <w:topLinePunct w:val="0"/>
        <w:bidi w:val="0"/>
        <w:spacing w:line="560" w:lineRule="exact"/>
        <w:ind w:firstLine="562" w:firstLineChars="200"/>
        <w:rPr>
          <w:rFonts w:hint="default" w:ascii="Verdana" w:hAnsi="Verdana" w:cs="Times New Roman"/>
          <w:b/>
          <w:sz w:val="28"/>
          <w:szCs w:val="28"/>
          <w:lang w:val="en-US" w:eastAsia="zh-CN"/>
        </w:rPr>
      </w:pPr>
      <w:r>
        <w:rPr>
          <w:rFonts w:ascii="Verdana" w:hAnsi="Verdana" w:cs="Times New Roman"/>
          <w:b/>
          <w:sz w:val="28"/>
          <w:szCs w:val="28"/>
        </w:rPr>
        <w:t>第四条 履约保证金</w:t>
      </w:r>
      <w:r>
        <w:rPr>
          <w:rFonts w:hint="eastAsia" w:ascii="Verdana" w:hAnsi="Verdana" w:cs="Times New Roman"/>
          <w:b/>
          <w:sz w:val="28"/>
          <w:szCs w:val="28"/>
          <w:lang w:val="en-US" w:eastAsia="zh-CN"/>
        </w:rPr>
        <w:t>及其他费用</w:t>
      </w:r>
    </w:p>
    <w:p w14:paraId="115A75D3">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rPr>
        <w:t>甲、乙双方约定，甲方交付</w:t>
      </w:r>
      <w:r>
        <w:rPr>
          <w:rFonts w:hint="eastAsia" w:ascii="仿宋_GB2312" w:hAnsi="仿宋_GB2312" w:eastAsia="仿宋_GB2312" w:cs="仿宋_GB2312"/>
          <w:color w:val="auto"/>
          <w:spacing w:val="-4"/>
          <w:sz w:val="32"/>
          <w:szCs w:val="32"/>
          <w:lang w:val="en-US" w:eastAsia="zh-CN"/>
        </w:rPr>
        <w:t>租赁物</w:t>
      </w:r>
      <w:r>
        <w:rPr>
          <w:rFonts w:hint="eastAsia" w:ascii="仿宋_GB2312" w:hAnsi="仿宋_GB2312" w:eastAsia="仿宋_GB2312" w:cs="仿宋_GB2312"/>
          <w:color w:val="auto"/>
          <w:spacing w:val="-4"/>
          <w:sz w:val="32"/>
          <w:szCs w:val="32"/>
        </w:rPr>
        <w:t>前，乙方应向甲方支付履约保证金，履约保证金标准为</w:t>
      </w:r>
      <w:r>
        <w:rPr>
          <w:rFonts w:hint="eastAsia" w:ascii="仿宋_GB2312" w:hAnsi="仿宋_GB2312" w:eastAsia="仿宋_GB2312" w:cs="仿宋_GB2312"/>
          <w:color w:val="auto"/>
          <w:spacing w:val="-4"/>
          <w:sz w:val="32"/>
          <w:szCs w:val="32"/>
          <w:lang w:val="en-US" w:eastAsia="zh-CN"/>
        </w:rPr>
        <w:t>年度租金的10%，即</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rPr>
        <w:t>元。甲方收取保证金后应向乙方开具收款凭证。履约保证金的退还：租赁期满，经甲方验收，若乙方无其它欠款，在乙方办理退租手续时退还（不计息）；若因乙方违约导致合同提前解除或终止，履约保证金不予退还。</w:t>
      </w:r>
    </w:p>
    <w:p w14:paraId="7501D7F3">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所发生的水电费用由乙方承担。电费由乙方自行安装电表，单独计量；水费按租赁场地的实际面积所占总使用面积的比例分摊核算。水电费按每</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none"/>
          <w:lang w:val="en-US" w:eastAsia="zh-CN"/>
        </w:rPr>
        <w:t>（月/季度/年）最后一日起30个工作日内收取</w:t>
      </w:r>
      <w:r>
        <w:rPr>
          <w:rFonts w:hint="eastAsia" w:ascii="仿宋_GB2312" w:hAnsi="仿宋_GB2312" w:eastAsia="仿宋_GB2312" w:cs="仿宋_GB2312"/>
          <w:color w:val="auto"/>
          <w:spacing w:val="-4"/>
          <w:sz w:val="32"/>
          <w:szCs w:val="32"/>
          <w:lang w:val="en-US" w:eastAsia="zh-CN"/>
        </w:rPr>
        <w:t>。</w:t>
      </w:r>
    </w:p>
    <w:p w14:paraId="7A438361">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lang w:val="en-US" w:eastAsia="zh-CN"/>
        </w:rPr>
        <w:t>3.租赁期间，使用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所发生的电话、网络、维修维护等费用由乙方自行承担。</w:t>
      </w:r>
    </w:p>
    <w:p w14:paraId="2F7B5CDB">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 xml:space="preserve">第五条 双方权利和义务         </w:t>
      </w:r>
    </w:p>
    <w:p w14:paraId="30ED5605">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1.甲方按约定收取租金及履约保证金，有权监督乙方安全运营，定期检查场地设备，乙方应予配合；</w:t>
      </w:r>
    </w:p>
    <w:p w14:paraId="4054B2C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2.若乙方违反安全规定（如未取得《危险化学品经营许可证》），甲方有权单方解除合同。</w:t>
      </w:r>
    </w:p>
    <w:p w14:paraId="0397CB22">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3.甲方按约提供场地，对场地内财物不作任何保管，对任何财产损失概不负责。</w:t>
      </w:r>
    </w:p>
    <w:p w14:paraId="363BA4D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4.甲方对进入场地的车辆和人员进行秩序管理，实施必要的现场指挥和安排;对有疑问车辆和人员有权进行询问和检查。</w:t>
      </w:r>
    </w:p>
    <w:p w14:paraId="700D7380">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5.乙方应妥善使用和管理</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，发现可能对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造成损害的故障和危险的，能够消除的应及时消除，不能消除的应尽快报告甲方，以免损失扩大。在本合同终止返还租赁物时，乙方应确保</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完整、能够正常使用。甲方可对乙方使用租赁物的情况进行检查监督，但尽量不妨碍乙方对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的正常使用。</w:t>
      </w:r>
    </w:p>
    <w:p w14:paraId="5F953C2D">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6.乙方应按照国家的有关规定合法经营，保证不在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内从事任何违反国家法律、法规的行为，若因此给甲方造成损失的，乙方承担赔偿责任。</w:t>
      </w:r>
    </w:p>
    <w:p w14:paraId="2D49291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7.乙方在租赁期限内应爱护租赁物，因乙方使用不当造成租赁物损坏的，乙方应负责维修并承担费用。若乙方拒不维修的，甲方可代为维修，费用由乙方承担。</w:t>
      </w:r>
    </w:p>
    <w:p w14:paraId="188E604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8.乙方在租赁期间须严格遵守《中华人民共和国消防条例》以及甲方的相关安全生产制度，积极配合甲方做好消防工作，否则由此产生的一切责任及损失由乙方承担。</w:t>
      </w:r>
    </w:p>
    <w:p w14:paraId="7B3AAACC">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9.在租赁期限内如乙方需对租赁物进行改造的，须事先向甲方提交设计实施方案，征得甲方同意，需向政府有关部门申报审批的应按规定程序申报审批后实施。改造方案不得对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所在位置的公用部分及其它相邻用户造成损害，否则甲方可要求乙方予以修改。改造费用由乙方承担，造成损害的，乙方应当赔偿。</w:t>
      </w:r>
    </w:p>
    <w:p w14:paraId="5EF2846D">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10.未经甲方书面同意，乙方不得擅自转租本合同租赁物。</w:t>
      </w:r>
    </w:p>
    <w:p w14:paraId="322D8B1F">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11.乙方供应油品需保证质量，随行就市，提供最可信、最具实力的供应价格，并负责油品的调度配送，做好运输到站工作。</w:t>
      </w:r>
    </w:p>
    <w:p w14:paraId="3A2817EB">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12.乙方</w:t>
      </w:r>
      <w:r>
        <w:rPr>
          <w:rFonts w:hint="eastAsia" w:ascii="仿宋_GB2312" w:hAnsi="仿宋_GB2312" w:eastAsia="仿宋_GB2312" w:cs="仿宋_GB2312"/>
          <w:color w:val="auto"/>
          <w:spacing w:val="-4"/>
          <w:sz w:val="32"/>
          <w:szCs w:val="32"/>
          <w:highlight w:val="none"/>
          <w:lang w:val="en-US" w:eastAsia="zh-CN"/>
        </w:rPr>
        <w:t>进入租赁场地</w:t>
      </w:r>
      <w:r>
        <w:rPr>
          <w:rFonts w:hint="eastAsia" w:ascii="仿宋_GB2312" w:hAnsi="仿宋_GB2312" w:eastAsia="仿宋_GB2312" w:cs="仿宋_GB2312"/>
          <w:color w:val="auto"/>
          <w:spacing w:val="-4"/>
          <w:sz w:val="32"/>
          <w:szCs w:val="32"/>
          <w:lang w:val="en-US" w:eastAsia="zh-CN"/>
        </w:rPr>
        <w:t>内的车辆和人员必须服从场内工作人员的指挥和管理，车辆按规定停放，且停放整齐，不得妨碍相邻停车区域的使用，不得造成道路或通道的堵塞。</w:t>
      </w:r>
    </w:p>
    <w:p w14:paraId="2DD15173">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13.乙方必须保持租赁区域的环境卫生，对因油品的泄漏导致场地污损的，乙方应及时清洁维护，并承担相应费用。</w:t>
      </w:r>
    </w:p>
    <w:p w14:paraId="640D988F">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14.乙方人员在离开车辆时应对车辆包括防盗锁、电路、门窗等认真检查，以防车内物品丢失或因电路等引起车辆火灾等事故。乙方人员不得在租赁场地内乱扔废弃物，不得随地大小便，自觉维护场内的清洁卫生。</w:t>
      </w:r>
    </w:p>
    <w:p w14:paraId="08DAA26C">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15.乙方安全评价专项义务</w:t>
      </w:r>
    </w:p>
    <w:p w14:paraId="6F6C7C42">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（1）乙方应在设备安装前30日内，委托具备危化品类甲级资质的安全评价机构编制《撬装加油装置安全预评价报告》并通过应急管理部门审批；</w:t>
      </w:r>
    </w:p>
    <w:p w14:paraId="1FB1D4B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（2）运营期间每个评估周期开展一次安全现状评价，报告提交甲方备案；</w:t>
      </w:r>
    </w:p>
    <w:p w14:paraId="1372285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（3）安全评价结论要求整改的，乙方须在15日内落实整改并提交证明；</w:t>
      </w:r>
    </w:p>
    <w:p w14:paraId="03CB9A31">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（4）所有安全评价费用由乙方承担.</w:t>
      </w:r>
    </w:p>
    <w:p w14:paraId="5AAAAFC2">
      <w:pPr>
        <w:keepNext w:val="0"/>
        <w:keepLines w:val="0"/>
        <w:pageBreakBefore w:val="0"/>
        <w:wordWrap/>
        <w:overflowPunct/>
        <w:topLinePunct w:val="0"/>
        <w:bidi w:val="0"/>
        <w:spacing w:line="560" w:lineRule="exact"/>
        <w:ind w:firstLine="562" w:firstLineChars="200"/>
        <w:rPr>
          <w:rFonts w:hint="default"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第六条 租赁物返还</w:t>
      </w:r>
    </w:p>
    <w:p w14:paraId="22120FEB">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。乙方逾期返还的，每逾期一日，按该年度租金的1%的标准按日向甲方支付违约金。</w:t>
      </w:r>
    </w:p>
    <w:p w14:paraId="36FE4CE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2.租赁期满时，甲方有权要求乙方拆除全部设备并完成土壤检测，恢复场地原状。乙方返还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时，应经甲方验收并结清应当承担的费用。</w:t>
      </w:r>
    </w:p>
    <w:p w14:paraId="2AF66BE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3.乙方的设施设备应在本合同到期后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个工作日内搬离，不按时搬离的甲方有权对该物品进行处理。</w:t>
      </w:r>
    </w:p>
    <w:p w14:paraId="057299C0">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4.乙方增加的装修装饰，可以拆除的由乙方拆除，不可拆除的或者拆除会造成场地破坏的，乙方不得拆除。乙方违约拆除造成甲方损失的，甲方有权要求乙方恢复原状或赔偿损失。</w:t>
      </w:r>
    </w:p>
    <w:p w14:paraId="31958EBB">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第七条 违约责任</w:t>
      </w:r>
    </w:p>
    <w:p w14:paraId="77A3231C">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1.甲方未按合同约定提供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供乙方使用的，每逾期交付约定租赁物一日，按未提供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面积的月租金的0.3%的标准按日向乙方支付违约金。</w:t>
      </w:r>
    </w:p>
    <w:p w14:paraId="67DDBA1F">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拖欠租金及水电费等其他应付费用的，每逾期一日，按上述尚欠款项的万分之四的标准按日向甲方支付违约金。乙方同意，甲方可从已收取的履约保证金中，对乙方拖欠的款项及应支付的违约金直接予以扣除。</w:t>
      </w:r>
    </w:p>
    <w:p w14:paraId="6ACABD47">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第八条 免责</w:t>
      </w:r>
    </w:p>
    <w:p w14:paraId="243534A9">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合同期内，因不可抗力原因，如地震、洪涝、台风等自然灾害或国家有关政策调整导致合同无法继续履行的，本合同自然终止，甲乙双方均不承担任何责任。</w:t>
      </w:r>
    </w:p>
    <w:p w14:paraId="7B37DE30">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第九条 争议解决</w:t>
      </w:r>
    </w:p>
    <w:p w14:paraId="50A0FB5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甲乙双方因本合同发生争议，应协商解决，协商不成的，任何一方均可向甲方所在地人民法院起诉。</w:t>
      </w:r>
    </w:p>
    <w:p w14:paraId="62A870DC">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第十条 合同的解除和变更</w:t>
      </w:r>
    </w:p>
    <w:p w14:paraId="1C598760">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1.甲、乙双方协商一致可以变更或解除本合同。</w:t>
      </w:r>
    </w:p>
    <w:p w14:paraId="35808E43">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 如乙方需提前解除合同，须提前30日以书面形式通知甲方解除本合同，并应向甲方支付等额于合同解除时所在年度一个月租赁费用的款项作为违约金，且乙方同意甲方可在已收取的租金及履约保证金中直接扣除违约金后再退还乙方剩余租金，甲乙双方协商一致，另行约定的除外。</w:t>
      </w:r>
    </w:p>
    <w:p w14:paraId="4E8F7DD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3.租赁期内，非因乙方违约导致甲方提前解除合同，须提前30日以书面形式通知乙方，并退还剩余租金，同时补偿给乙方合同解除时所在年度一个月的租赁费用。</w:t>
      </w:r>
    </w:p>
    <w:p w14:paraId="2FB6E086">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4.乙方有下列情形之一的，甲方可以单方面提前解除合同， 且甲方不构成违约，无需承担责任，乙方需承担甲方全部的经济损失及为维权所支出的必要费用（包括但不限于交通费、鉴定费、律师费、担保费、保全费、诉讼费等），同时甲方有权罚没履约保证金，并有权要求乙方向甲方支付等额于该年度内六个月租赁费用的款项作为违约金，且乙方同意甲方可在已收取的租金中直接扣除违约金后再退还乙方剩余租金。若违约金不足以弥补甲方损失的，甲方有权另行主张：</w:t>
      </w:r>
    </w:p>
    <w:p w14:paraId="0877142F">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（1）乙方从事违法活动而受到政府部门处罚的；</w:t>
      </w:r>
    </w:p>
    <w:p w14:paraId="44B2B4D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（2）未经甲方书面同意，乙方擅自转租租赁物的；</w:t>
      </w:r>
    </w:p>
    <w:p w14:paraId="5A28638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（3）乙方拖欠款项10个工作日以上的；</w:t>
      </w:r>
    </w:p>
    <w:p w14:paraId="6EE0C87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（4）未按约定使用租赁物，对租赁物造成重大毁损，且拒不改正的。</w:t>
      </w:r>
    </w:p>
    <w:p w14:paraId="7ECCB115">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（5）未履行安全评价专项义务的；</w:t>
      </w:r>
    </w:p>
    <w:p w14:paraId="133FD21F">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（6）发生安全生产事故的；</w:t>
      </w:r>
    </w:p>
    <w:p w14:paraId="549AB96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（7）未履行合同约定其他义务，经甲方催告两次后仍未整改到位的。</w:t>
      </w:r>
    </w:p>
    <w:p w14:paraId="683588D5">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第十一条 附则与附件</w:t>
      </w:r>
    </w:p>
    <w:p w14:paraId="75E61D01">
      <w:pPr>
        <w:pStyle w:val="4"/>
        <w:keepNext w:val="0"/>
        <w:keepLines w:val="0"/>
        <w:pageBreakBefore w:val="0"/>
        <w:wordWrap/>
        <w:overflowPunct/>
        <w:topLinePunct w:val="0"/>
        <w:bidi w:val="0"/>
        <w:spacing w:before="245"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1.本合同自甲乙双方盖章签字，且乙方已按约支付合同期内年度的租赁费用和履约保证金后生效，合同正本壹式肆份，甲方执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份，乙方执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w:t>
      </w:r>
    </w:p>
    <w:p w14:paraId="1E8D992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2.未尽事宜，双方另行协商，并订立</w:t>
      </w:r>
      <w:r>
        <w:rPr>
          <w:rFonts w:hint="eastAsia" w:ascii="仿宋_GB2312" w:hAnsi="仿宋_GB2312" w:eastAsia="仿宋_GB2312" w:cs="仿宋_GB2312"/>
          <w:spacing w:val="-4"/>
          <w:sz w:val="32"/>
          <w:szCs w:val="32"/>
          <w:lang w:val="en-US" w:eastAsia="zh-CN"/>
        </w:rPr>
        <w:t>书面补充协议。本合同的附件是本合同的组成部分与本合同具有同样法律效力。</w:t>
      </w:r>
    </w:p>
    <w:p w14:paraId="3184C14F">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3.附件</w:t>
      </w:r>
    </w:p>
    <w:p w14:paraId="17D184F6">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u w:val="single"/>
          <w:lang w:val="en-US" w:eastAsia="zh-CN"/>
        </w:rPr>
      </w:pPr>
      <w:r>
        <w:rPr>
          <w:rFonts w:hint="eastAsia" w:ascii="仿宋_GB2312" w:hAnsi="仿宋_GB2312" w:eastAsia="仿宋_GB2312" w:cs="仿宋_GB2312"/>
          <w:spacing w:val="-4"/>
          <w:sz w:val="32"/>
          <w:szCs w:val="32"/>
          <w:lang w:val="en-US" w:eastAsia="zh-CN"/>
        </w:rPr>
        <w:t>附件1：</w:t>
      </w:r>
      <w:r>
        <w:rPr>
          <w:rFonts w:hint="eastAsia" w:ascii="仿宋_GB2312" w:hAnsi="仿宋_GB2312" w:eastAsia="仿宋_GB2312" w:cs="仿宋_GB2312"/>
          <w:spacing w:val="-4"/>
          <w:sz w:val="32"/>
          <w:szCs w:val="32"/>
          <w:u w:val="single"/>
          <w:lang w:val="en-US" w:eastAsia="zh-CN"/>
        </w:rPr>
        <w:t xml:space="preserve"> 安全生产管理协议   </w:t>
      </w:r>
    </w:p>
    <w:p w14:paraId="5E289C86">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附件2：</w:t>
      </w:r>
      <w:r>
        <w:rPr>
          <w:rFonts w:hint="eastAsia" w:ascii="仿宋_GB2312" w:hAnsi="仿宋_GB2312" w:eastAsia="仿宋_GB2312" w:cs="仿宋_GB2312"/>
          <w:spacing w:val="-4"/>
          <w:sz w:val="32"/>
          <w:szCs w:val="32"/>
          <w:u w:val="single"/>
          <w:lang w:val="en-US" w:eastAsia="zh-CN"/>
        </w:rPr>
        <w:t xml:space="preserve">                     </w:t>
      </w:r>
    </w:p>
    <w:p w14:paraId="0E81557C">
      <w:pPr>
        <w:keepNext w:val="0"/>
        <w:keepLines w:val="0"/>
        <w:pageBreakBefore w:val="0"/>
        <w:wordWrap/>
        <w:overflowPunct/>
        <w:topLinePunct w:val="0"/>
        <w:bidi w:val="0"/>
        <w:spacing w:line="560" w:lineRule="exact"/>
        <w:jc w:val="right"/>
        <w:rPr>
          <w:rFonts w:hint="eastAsia" w:ascii="仿宋_GB2312" w:hAnsi="仿宋_GB2312" w:eastAsia="仿宋_GB2312" w:cs="仿宋_GB2312"/>
        </w:rPr>
      </w:pPr>
    </w:p>
    <w:p w14:paraId="52DB0401">
      <w:pPr>
        <w:keepNext w:val="0"/>
        <w:keepLines w:val="0"/>
        <w:pageBreakBefore w:val="0"/>
        <w:wordWrap/>
        <w:overflowPunct/>
        <w:topLinePunct w:val="0"/>
        <w:bidi w:val="0"/>
        <w:spacing w:line="560" w:lineRule="exact"/>
        <w:jc w:val="both"/>
        <w:rPr>
          <w:rFonts w:hint="eastAsia"/>
        </w:rPr>
      </w:pPr>
    </w:p>
    <w:p w14:paraId="0BD4CA30">
      <w:pPr>
        <w:keepNext w:val="0"/>
        <w:keepLines w:val="0"/>
        <w:pageBreakBefore w:val="0"/>
        <w:wordWrap/>
        <w:overflowPunct/>
        <w:topLinePunct w:val="0"/>
        <w:bidi w:val="0"/>
        <w:spacing w:line="560" w:lineRule="exact"/>
        <w:jc w:val="right"/>
        <w:rPr>
          <w:rFonts w:hint="eastAsia"/>
        </w:rPr>
      </w:pPr>
    </w:p>
    <w:p w14:paraId="5D47DFC6">
      <w:pPr>
        <w:keepNext w:val="0"/>
        <w:keepLines w:val="0"/>
        <w:pageBreakBefore w:val="0"/>
        <w:wordWrap/>
        <w:overflowPunct/>
        <w:topLinePunct w:val="0"/>
        <w:bidi w:val="0"/>
        <w:spacing w:line="560" w:lineRule="exact"/>
        <w:jc w:val="right"/>
        <w:rPr>
          <w:rFonts w:hint="eastAsia"/>
        </w:rPr>
      </w:pPr>
    </w:p>
    <w:p w14:paraId="3DB800F0">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此页无正文，为宁波市镇海区危化品运输综合服务有限公司《场地租赁合同》签字盖章页。</w:t>
      </w:r>
    </w:p>
    <w:p w14:paraId="3D8F1611">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0C8BE1C6">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09BD889D">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29B330B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甲方：（盖章）</w:t>
      </w:r>
    </w:p>
    <w:p w14:paraId="4C74E2C7">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351089F1">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联系方式：</w:t>
      </w:r>
    </w:p>
    <w:p w14:paraId="0F161426">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6865D4A1">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3A47CCFA">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29E2345F">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乙方：（盖章）</w:t>
      </w:r>
    </w:p>
    <w:p w14:paraId="3734F3EA">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44F46600">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spacing w:val="-4"/>
          <w:sz w:val="32"/>
          <w:szCs w:val="32"/>
          <w:lang w:val="en-US" w:eastAsia="zh-CN"/>
        </w:rPr>
        <w:sectPr>
          <w:headerReference r:id="rId3" w:type="default"/>
          <w:footerReference r:id="rId4" w:type="default"/>
          <w:pgSz w:w="11906" w:h="16839"/>
          <w:pgMar w:top="1118" w:right="1785" w:bottom="1156" w:left="1785" w:header="878" w:footer="994" w:gutter="0"/>
          <w:pgNumType w:fmt="numberInDash"/>
          <w:cols w:equalWidth="0" w:num="1">
            <w:col w:w="8335"/>
          </w:cols>
        </w:sectPr>
      </w:pPr>
      <w:r>
        <w:rPr>
          <w:rFonts w:hint="eastAsia" w:ascii="仿宋_GB2312" w:hAnsi="仿宋_GB2312" w:eastAsia="仿宋_GB2312" w:cs="仿宋_GB2312"/>
          <w:spacing w:val="-4"/>
          <w:sz w:val="32"/>
          <w:szCs w:val="32"/>
          <w:lang w:val="en-US" w:eastAsia="zh-CN"/>
        </w:rPr>
        <w:t>联系方式:</w:t>
      </w:r>
    </w:p>
    <w:p w14:paraId="1AFEAE20">
      <w:pPr>
        <w:jc w:val="center"/>
        <w:rPr>
          <w:rFonts w:hint="eastAsia"/>
          <w:b/>
          <w:bCs/>
          <w:sz w:val="40"/>
          <w:szCs w:val="48"/>
        </w:rPr>
      </w:pPr>
      <w:r>
        <w:rPr>
          <w:rFonts w:hint="eastAsia" w:ascii="方正小标宋简体" w:hAnsi="方正小标宋简体" w:eastAsia="方正小标宋简体" w:cs="方正小标宋简体"/>
          <w:b w:val="0"/>
          <w:bCs w:val="0"/>
          <w:sz w:val="44"/>
          <w:szCs w:val="44"/>
        </w:rPr>
        <w:t>安全生产管理协议</w:t>
      </w:r>
    </w:p>
    <w:p w14:paraId="4BE3CF2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甲方</w:t>
      </w:r>
      <w:r>
        <w:rPr>
          <w:rFonts w:hint="eastAsia" w:ascii="仿宋_GB2312" w:hAnsi="仿宋_GB2312" w:eastAsia="仿宋_GB2312" w:cs="仿宋_GB2312"/>
          <w:sz w:val="32"/>
          <w:szCs w:val="40"/>
          <w:lang w:eastAsia="zh-CN"/>
        </w:rPr>
        <w:t>：</w:t>
      </w:r>
    </w:p>
    <w:p w14:paraId="0A678C8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乙方</w:t>
      </w:r>
      <w:r>
        <w:rPr>
          <w:rFonts w:hint="eastAsia" w:ascii="仿宋_GB2312" w:hAnsi="仿宋_GB2312" w:eastAsia="仿宋_GB2312" w:cs="仿宋_GB2312"/>
          <w:sz w:val="32"/>
          <w:szCs w:val="40"/>
          <w:lang w:eastAsia="zh-CN"/>
        </w:rPr>
        <w:t>：</w:t>
      </w:r>
    </w:p>
    <w:p w14:paraId="41EC481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为保证甲乙双方人员生命、财产安全，</w:t>
      </w:r>
      <w:r>
        <w:rPr>
          <w:rFonts w:hint="eastAsia" w:ascii="仿宋_GB2312" w:hAnsi="仿宋_GB2312" w:eastAsia="仿宋_GB2312" w:cs="仿宋_GB2312"/>
          <w:sz w:val="32"/>
          <w:szCs w:val="40"/>
          <w:lang w:val="en-US" w:eastAsia="zh-CN"/>
        </w:rPr>
        <w:t>维护通港路、通海路停车场经营秩序，确保甲乙双方共同利益，根据《中华人民共和国消防法》《中华人民共和国安全生产法》规定，本着“谁主管谁负责”的原则，</w:t>
      </w:r>
      <w:r>
        <w:rPr>
          <w:rFonts w:hint="eastAsia" w:ascii="仿宋_GB2312" w:hAnsi="仿宋_GB2312" w:eastAsia="仿宋_GB2312" w:cs="仿宋_GB2312"/>
          <w:sz w:val="32"/>
          <w:szCs w:val="40"/>
        </w:rPr>
        <w:t>特签订本协议。经甲乙双方友好协商，就甲乙双方在安全生产管理方面的内容达成如下</w:t>
      </w:r>
      <w:r>
        <w:rPr>
          <w:rFonts w:hint="eastAsia" w:ascii="仿宋_GB2312" w:hAnsi="仿宋_GB2312" w:eastAsia="仿宋_GB2312" w:cs="仿宋_GB2312"/>
          <w:sz w:val="32"/>
          <w:szCs w:val="40"/>
          <w:lang w:val="en-US" w:eastAsia="zh-CN"/>
        </w:rPr>
        <w:t>共识：</w:t>
      </w:r>
    </w:p>
    <w:p w14:paraId="3110723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一、双方的安全生产职责</w:t>
      </w:r>
    </w:p>
    <w:p w14:paraId="77A07BB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甲乙双方应自觉遵守国家、地方相关法律法规，加强安全生产管理，高度重视安全生产工作，主动配合支持对方工作。甲乙双方的法定代表人是安全生产第一责任人，对本公司的安全生产负全面领导责任。</w:t>
      </w:r>
    </w:p>
    <w:p w14:paraId="4941C8D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二、甲方的权利和义务</w:t>
      </w:r>
    </w:p>
    <w:p w14:paraId="6446F4C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1、甲方对乙方在撬装罐加油区域内从事生产经营的安全情况负有安全生产监管责任，应督促乙方健全安全生产管理制度，确保本区域生产安全，防止发生安全责任事故。</w:t>
      </w:r>
    </w:p>
    <w:p w14:paraId="7BF26E7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2、甲方有义务帮助乙方做好安全生产管理，向乙方宣传国家及地方安全生产方针政策及法规，有权对乙方进行安全检查，参与撬装罐加油区域安全生产管理。</w:t>
      </w:r>
    </w:p>
    <w:p w14:paraId="69763B6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3、甲方明确所属的管理服务部代表甲方执行安全监管职责，负责检查协调撬装罐加油区域的安全工作。</w:t>
      </w:r>
    </w:p>
    <w:p w14:paraId="42915657">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三、乙方的权利和义务</w:t>
      </w:r>
    </w:p>
    <w:p w14:paraId="1D5C6F6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1、乙方必须依据国家法律法规的要求，取得与其生产经营活动相适应的资质。</w:t>
      </w:r>
    </w:p>
    <w:p w14:paraId="5F38291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2、乙方应贯彻执行各项安全生产法律法规、制度和标准，落实安全生产主体责任，建立并落实全员安全生产责任制，制定安全生产规章制度、安全技术规程。</w:t>
      </w:r>
    </w:p>
    <w:p w14:paraId="3F5F983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3、乙方应建立健全各项安全管理制度，配备安全生产专（兼）职管理人员，完善安全应急救援机制。</w:t>
      </w:r>
    </w:p>
    <w:p w14:paraId="7B48E4C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4、乙方应加强安全教育，增强人员安全意识，教育员工规范操作，严格现场管理，定期开展安全大检查，排查事故隐患。主要负责人、安全生产管理人员、特种作业人员必须经过安全培训、考核，持证上岗。</w:t>
      </w:r>
    </w:p>
    <w:p w14:paraId="2A24C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5、乙方严禁在撬装罐加油区域范围内存放易燃易爆物品，严格执行用电、动火规定，不随意乱拉乱接电线，不违规使用电器及各类燃气。</w:t>
      </w:r>
    </w:p>
    <w:p w14:paraId="3A1F432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6、乙方在进行检修、施工等作业时，必须报甲方管理服务部或物业管理处，填写《施工安全责任书》后，方可进行作业。有可能对甲方造成影响的相关作业活动也必须履行告知的义务。</w:t>
      </w:r>
    </w:p>
    <w:p w14:paraId="6CE0019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四、经济赔偿</w:t>
      </w:r>
    </w:p>
    <w:p w14:paraId="742CAF7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乙方对撬装罐加油区域发生的安全事故及由于事故殃及的其他物流企业、人员负完全处理责任，其经济损失由乙方全部承担，甲方不负任何责任。由于乙方</w:t>
      </w:r>
      <w:r>
        <w:rPr>
          <w:rFonts w:hint="eastAsia" w:ascii="仿宋_GB2312" w:hAnsi="仿宋_GB2312" w:eastAsia="仿宋_GB2312" w:cs="仿宋_GB2312"/>
          <w:color w:val="auto"/>
          <w:sz w:val="32"/>
          <w:szCs w:val="40"/>
          <w:lang w:val="en-US" w:eastAsia="zh-CN"/>
        </w:rPr>
        <w:t>原因而造成甲方损失的，甲方损失由乙方负责赔偿，且乙方需承担甲方为维权支出的所有费用，包括但不限于诉讼费、保全担保费、律师费、鉴定费、公证费、调查费、差旅费等</w:t>
      </w:r>
      <w:r>
        <w:rPr>
          <w:rFonts w:hint="eastAsia" w:ascii="仿宋_GB2312" w:hAnsi="仿宋_GB2312" w:eastAsia="仿宋_GB2312" w:cs="仿宋_GB2312"/>
          <w:sz w:val="32"/>
          <w:szCs w:val="40"/>
          <w:lang w:val="en-US" w:eastAsia="zh-CN"/>
        </w:rPr>
        <w:t>。</w:t>
      </w:r>
    </w:p>
    <w:p w14:paraId="7FF9DB8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五、事故报告及配合调查处理</w:t>
      </w:r>
    </w:p>
    <w:p w14:paraId="228EF9E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乙方发生生产安全事故应及时、如实报告当地安监部门及其他相关部门，同时向甲方报告，并采取有效措施，最大限度地减少事故造成的损失，按“四不放过”原则对责任人进行处理并落实防范措施。当事故发生与对方发生关联时，双方皆有义务配合调查处理。</w:t>
      </w:r>
    </w:p>
    <w:p w14:paraId="61941FD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六、本协议有效期与撬装加油服务有效期一致，直到双方合同期满。</w:t>
      </w:r>
    </w:p>
    <w:p w14:paraId="27F2C72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七、此协议一式贰份，双方各执壹份，自签订之日起生效。</w:t>
      </w:r>
    </w:p>
    <w:p w14:paraId="3E00C37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p>
    <w:p w14:paraId="607E50D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p>
    <w:p w14:paraId="596F374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p>
    <w:p w14:paraId="55587A53">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24B97B42">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348CCB44">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146A6DE4">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1E51E9CD">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7F5D475A">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6BDE6427">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7BBB9626">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36622BC6">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70A726CB">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2AB93D1B">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2A011D73">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40"/>
          <w:lang w:val="en-US" w:eastAsia="zh-CN"/>
        </w:rPr>
      </w:pPr>
    </w:p>
    <w:p w14:paraId="5A59BE1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甲    方：                    乙    方：</w:t>
      </w:r>
    </w:p>
    <w:p w14:paraId="1F90C2B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p>
    <w:p w14:paraId="682D1F1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授权代表：                    授权代表：</w:t>
      </w:r>
    </w:p>
    <w:p w14:paraId="524D26E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40"/>
          <w:lang w:val="en-US" w:eastAsia="zh-CN"/>
        </w:rPr>
      </w:pPr>
    </w:p>
    <w:p w14:paraId="60F25EC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sz w:val="28"/>
          <w:szCs w:val="36"/>
          <w:lang w:val="en-US" w:eastAsia="zh-CN"/>
        </w:rPr>
      </w:pPr>
      <w:r>
        <w:rPr>
          <w:rFonts w:hint="eastAsia" w:ascii="仿宋_GB2312" w:hAnsi="仿宋_GB2312" w:eastAsia="仿宋_GB2312" w:cs="仿宋_GB2312"/>
          <w:sz w:val="32"/>
          <w:szCs w:val="40"/>
          <w:lang w:val="en-US" w:eastAsia="zh-CN"/>
        </w:rPr>
        <w:t>日    期：                    日    期：</w:t>
      </w:r>
      <w:r>
        <w:rPr>
          <w:rFonts w:hint="eastAsia"/>
          <w:sz w:val="28"/>
          <w:szCs w:val="36"/>
          <w:lang w:val="en-US" w:eastAsia="zh-CN"/>
        </w:rPr>
        <w:t xml:space="preserve">                            </w:t>
      </w:r>
    </w:p>
    <w:p w14:paraId="797E030F">
      <w:pPr>
        <w:rPr>
          <w:rFonts w:hint="eastAsia" w:ascii="黑体" w:hAnsi="黑体" w:eastAsia="黑体" w:cs="黑体"/>
          <w:b/>
          <w:bCs/>
          <w:sz w:val="30"/>
          <w:szCs w:val="30"/>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9237B2-6ECC-4084-9D0F-BA5120EB6B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embedRegular r:id="rId2" w:fontKey="{B487066F-10B0-49BE-AC13-76E2C96D6DA8}"/>
  </w:font>
  <w:font w:name="仿宋_GB2312">
    <w:panose1 w:val="02010609030101010101"/>
    <w:charset w:val="86"/>
    <w:family w:val="modern"/>
    <w:pitch w:val="default"/>
    <w:sig w:usb0="00000001" w:usb1="080E0000" w:usb2="00000000" w:usb3="00000000" w:csb0="00040000" w:csb1="00000000"/>
    <w:embedRegular r:id="rId3" w:fontKey="{C4B6BF62-79A4-40FA-BE40-59B40C106829}"/>
  </w:font>
  <w:font w:name="仿宋">
    <w:panose1 w:val="02010609060101010101"/>
    <w:charset w:val="86"/>
    <w:family w:val="auto"/>
    <w:pitch w:val="default"/>
    <w:sig w:usb0="800002BF" w:usb1="38CF7CFA" w:usb2="00000016" w:usb3="00000000" w:csb0="00040001" w:csb1="00000000"/>
    <w:embedRegular r:id="rId4" w:fontKey="{659165A8-19C9-4513-8674-B12FAA2FC4FE}"/>
  </w:font>
  <w:font w:name="Verdana">
    <w:panose1 w:val="020B0604030504040204"/>
    <w:charset w:val="00"/>
    <w:family w:val="swiss"/>
    <w:pitch w:val="default"/>
    <w:sig w:usb0="A00006FF" w:usb1="4000205B" w:usb2="00000010" w:usb3="00000000" w:csb0="2000019F" w:csb1="00000000"/>
    <w:embedRegular r:id="rId5" w:fontKey="{90E89B7F-90CC-4E84-A641-3FD62650B10B}"/>
  </w:font>
  <w:font w:name="方正仿宋_GB2312">
    <w:panose1 w:val="02000000000000000000"/>
    <w:charset w:val="86"/>
    <w:family w:val="auto"/>
    <w:pitch w:val="default"/>
    <w:sig w:usb0="A00002BF" w:usb1="184F6CFA" w:usb2="00000012" w:usb3="00000000" w:csb0="00040001" w:csb1="00000000"/>
    <w:embedRegular r:id="rId6" w:fontKey="{78E92192-E8DC-45FF-93EC-158767316D79}"/>
  </w:font>
  <w:font w:name="方正小标宋简体">
    <w:panose1 w:val="03000509000000000000"/>
    <w:charset w:val="86"/>
    <w:family w:val="script"/>
    <w:pitch w:val="default"/>
    <w:sig w:usb0="00000001" w:usb1="080E0000" w:usb2="00000000" w:usb3="00000000" w:csb0="00040000" w:csb1="00000000"/>
    <w:embedRegular r:id="rId7" w:fontKey="{9038A758-1BF3-43AC-85F9-33CABB6168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5DDB1">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610B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84610B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24E6">
    <w:pPr>
      <w:pStyle w:val="4"/>
      <w:spacing w:line="219" w:lineRule="auto"/>
      <w:ind w:left="30"/>
      <w:rPr>
        <w:sz w:val="18"/>
        <w:szCs w:val="18"/>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1312;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zy6RdkAAAAMAQAADwAAAAAA&#10;AAABACAAAAAiAAAAZHJzL2Rvd25yZXYueG1sUEsBAhQAFAAAAAgAh07iQCDFejASAgAAewQAAA4A&#10;AAAAAAAAAQAgAAAAKAEAAGRycy9lMm9Eb2MueG1sUEsFBgAAAAAGAAYAWQEAAKwFA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2F9B490D">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0288;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FoNZ07oBAABxAwAADgAAAAAAAAABACAAAAAoAQAAZHJzL2Uyb0RvYy54bWxQ&#10;SwUGAAAAAAYABgBZAQAAVAUAAAAA&#10;">
              <v:fill on="f" focussize="0,0"/>
              <v:stroke on="f"/>
              <v:imagedata o:title=""/>
              <o:lock v:ext="edit" aspectratio="f"/>
              <v:textbox inset="0mm,0mm,0mm,0mm">
                <w:txbxContent>
                  <w:p w14:paraId="2F9B490D">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59264"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BE68C"/>
    <w:multiLevelType w:val="singleLevel"/>
    <w:tmpl w:val="1C1BE68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E90844"/>
    <w:rsid w:val="02061170"/>
    <w:rsid w:val="04CC48A5"/>
    <w:rsid w:val="04E8159A"/>
    <w:rsid w:val="05046014"/>
    <w:rsid w:val="07724E37"/>
    <w:rsid w:val="078C6EA6"/>
    <w:rsid w:val="0ADA341F"/>
    <w:rsid w:val="0C654F6B"/>
    <w:rsid w:val="0D630D93"/>
    <w:rsid w:val="0E743E7F"/>
    <w:rsid w:val="0F19203C"/>
    <w:rsid w:val="11431086"/>
    <w:rsid w:val="13E40E6B"/>
    <w:rsid w:val="15565D98"/>
    <w:rsid w:val="15CF70C6"/>
    <w:rsid w:val="15EC3809"/>
    <w:rsid w:val="1673687F"/>
    <w:rsid w:val="1B682DA2"/>
    <w:rsid w:val="1CE819CC"/>
    <w:rsid w:val="1E1B192D"/>
    <w:rsid w:val="2175353F"/>
    <w:rsid w:val="228A7081"/>
    <w:rsid w:val="2477102B"/>
    <w:rsid w:val="26D52D7B"/>
    <w:rsid w:val="324C7EAF"/>
    <w:rsid w:val="332D7CE1"/>
    <w:rsid w:val="36BB5604"/>
    <w:rsid w:val="374026BB"/>
    <w:rsid w:val="3A667F7C"/>
    <w:rsid w:val="413144A8"/>
    <w:rsid w:val="41D34149"/>
    <w:rsid w:val="41DF4BEC"/>
    <w:rsid w:val="423B7208"/>
    <w:rsid w:val="45EA1A61"/>
    <w:rsid w:val="48BC1536"/>
    <w:rsid w:val="517F670C"/>
    <w:rsid w:val="53F47E3D"/>
    <w:rsid w:val="574F43DF"/>
    <w:rsid w:val="57A77AD7"/>
    <w:rsid w:val="589F529F"/>
    <w:rsid w:val="5BC718F6"/>
    <w:rsid w:val="5C054F9B"/>
    <w:rsid w:val="5DC66041"/>
    <w:rsid w:val="5E425E33"/>
    <w:rsid w:val="5E4B16FA"/>
    <w:rsid w:val="5F772160"/>
    <w:rsid w:val="6327554C"/>
    <w:rsid w:val="633839B4"/>
    <w:rsid w:val="63A32D5E"/>
    <w:rsid w:val="63EE0D2D"/>
    <w:rsid w:val="6A163D24"/>
    <w:rsid w:val="6AD8764A"/>
    <w:rsid w:val="6B3C600C"/>
    <w:rsid w:val="6B67017F"/>
    <w:rsid w:val="6C185565"/>
    <w:rsid w:val="6DC5053A"/>
    <w:rsid w:val="6EEA2BEE"/>
    <w:rsid w:val="72FD2525"/>
    <w:rsid w:val="736B56E0"/>
    <w:rsid w:val="73886E83"/>
    <w:rsid w:val="790A315A"/>
    <w:rsid w:val="79F91C98"/>
    <w:rsid w:val="7BBA0027"/>
    <w:rsid w:val="7BF2699E"/>
    <w:rsid w:val="7C485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Body Text Indent"/>
    <w:basedOn w:val="1"/>
    <w:autoRedefine/>
    <w:qFormat/>
    <w:uiPriority w:val="0"/>
    <w:pPr>
      <w:spacing w:line="360" w:lineRule="auto"/>
      <w:ind w:left="1"/>
    </w:pPr>
    <w:rPr>
      <w:sz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11">
    <w:name w:val="List Paragraph"/>
    <w:basedOn w:val="1"/>
    <w:autoRedefine/>
    <w:qFormat/>
    <w:uiPriority w:val="0"/>
    <w:pPr>
      <w:ind w:firstLine="420" w:firstLineChars="200"/>
    </w:pPr>
    <w:rPr>
      <w:rFonts w:ascii="Calibri" w:hAnsi="Calibri"/>
      <w:szCs w:val="22"/>
    </w:rPr>
  </w:style>
  <w:style w:type="paragraph" w:customStyle="1" w:styleId="12">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3">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7959</Words>
  <Characters>8195</Characters>
  <Lines>0</Lines>
  <Paragraphs>0</Paragraphs>
  <TotalTime>0</TotalTime>
  <ScaleCrop>false</ScaleCrop>
  <LinksUpToDate>false</LinksUpToDate>
  <CharactersWithSpaces>8598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cp:lastPrinted>2024-12-25T00:54:00Z</cp:lastPrinted>
  <dcterms:modified xsi:type="dcterms:W3CDTF">2025-07-03T01:58:43Z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